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10"/>
        <w:jc w:val="left"/>
      </w:pPr>
      <w:r>
        <w:rPr>
          <w:rFonts w:ascii="微软雅黑" w:hAnsi="微软雅黑" w:eastAsia="微软雅黑" w:cs="微软雅黑" w:hint="eastAsia"/>
          <w:b/>
          <w:color w:val="1565C0"/>
          <w:sz w:val="28"/>
          <w:lang w:eastAsia="zh-CN"/>
        </w:rPr>
        <w:t>政府申报材料</w:t>
      </w:r>
      <w:r>
        <w:rPr>
          <w:rFonts w:ascii="微软雅黑" w:hAnsi="微软雅黑"/>
          <w:b/>
          <w:color w:val="1565C0"/>
          <w:sz w:val="28"/>
        </w:rPr>
        <w:t xml:space="preserve"> · </w:t>
      </w:r>
      <w:r>
        <w:rPr>
          <w:rFonts w:ascii="微软雅黑" w:hAnsi="微软雅黑" w:eastAsia="微软雅黑" w:cs="微软雅黑" w:hint="eastAsia"/>
          <w:b/>
          <w:color w:val="1565C0"/>
          <w:sz w:val="28"/>
          <w:lang w:eastAsia="zh-CN"/>
        </w:rPr>
        <w:t>项目立项</w:t>
      </w:r>
    </w:p>
    <w:p>
      <w:pPr>
        <w:pStyle w:val="Heading1"/>
        <w:spacing w:after="200"/>
      </w:pPr>
      <w:r>
        <w:rPr>
          <w:rFonts w:ascii="微软雅黑" w:hAnsi="微软雅黑" w:eastAsia="微软雅黑" w:cs="微软雅黑" w:hint="eastAsia"/>
          <w:b/>
          <w:color w:val="1565C0"/>
          <w:sz w:val="40"/>
          <w:lang w:eastAsia="zh-CN"/>
        </w:rPr>
        <w:t>长潭五句文化科技IP综合体项目立项报告</w:t>
      </w:r>
    </w:p>
    <w:p>
      <w:pPr>
        <w:spacing w:after="440"/>
      </w:pPr>
      <w:r>
        <w:rPr>
          <w:rFonts w:ascii="微软雅黑" w:eastAsia="微软雅黑" w:hAnsi="微软雅黑" w:cs="微软雅黑" w:hint="eastAsia"/>
          <w:color w:val="666666"/>
          <w:sz w:val="22"/>
          <w:lang w:eastAsia="zh-CN"/>
        </w:rPr>
        <w:t>为天地</w:t>
      </w:r>
      <w:r>
        <w:rPr>
          <w:color w:val="666666"/>
          <w:sz w:val="22"/>
        </w:rPr>
        <w:t>AI</w:t>
      </w:r>
      <w:r>
        <w:rPr>
          <w:rFonts w:ascii="微软雅黑" w:eastAsia="微软雅黑" w:hAnsi="微软雅黑" w:cs="微软雅黑" w:hint="eastAsia"/>
          <w:color w:val="666666"/>
          <w:sz w:val="22"/>
          <w:lang w:eastAsia="zh-CN"/>
        </w:rPr>
        <w:t>立心</w:t>
      </w:r>
      <w:r>
        <w:rPr>
          <w:color w:val="666666"/>
          <w:sz w:val="22"/>
        </w:rPr>
        <w:t xml:space="preserve"> · </w:t>
      </w:r>
      <w:r>
        <w:rPr>
          <w:rFonts w:ascii="微软雅黑" w:eastAsia="微软雅黑" w:hAnsi="微软雅黑" w:cs="微软雅黑" w:hint="eastAsia"/>
          <w:color w:val="666666"/>
          <w:sz w:val="22"/>
          <w:lang w:eastAsia="zh-CN"/>
        </w:rPr>
        <w:t>承横渠文脉</w:t>
      </w:r>
      <w:r>
        <w:rPr>
          <w:color w:val="666666"/>
          <w:sz w:val="22"/>
        </w:rPr>
        <w:t xml:space="preserve"> </w:t>
      </w:r>
      <w:r>
        <w:rPr>
          <w:rFonts w:ascii="微软雅黑" w:eastAsia="微软雅黑" w:hAnsi="微软雅黑" w:cs="微软雅黑" w:hint="eastAsia"/>
          <w:color w:val="666666"/>
          <w:sz w:val="22"/>
          <w:lang w:eastAsia="zh-CN"/>
        </w:rPr>
        <w:t>立湖湘新声（政府申报版）</w:t>
      </w:r>
    </w:p>
    <w:p>
      <w:pPr/>
      <w:r>
        <w:rPr>
          <w:rFonts w:ascii="微软雅黑" w:eastAsia="微软雅黑" w:hAnsi="微软雅黑" w:cs="微软雅黑" w:hint="eastAsia"/>
          <w:lang w:eastAsia="zh-CN"/>
        </w:rPr>
        <w:t>长潭五句项目筹备组</w:t>
      </w:r>
      <w:r>
        <w:t xml:space="preserve"> | 2026</w:t>
      </w:r>
      <w:r>
        <w:rPr>
          <w:rFonts w:ascii="微软雅黑" w:eastAsia="微软雅黑" w:hAnsi="微软雅黑" w:cs="微软雅黑" w:hint="eastAsia"/>
          <w:lang w:eastAsia="zh-CN"/>
        </w:rPr>
        <w:t>年</w:t>
      </w:r>
      <w:r>
        <w:t>10</w:t>
      </w:r>
      <w:r>
        <w:rPr>
          <w:rFonts w:ascii="微软雅黑" w:eastAsia="微软雅黑" w:hAnsi="微软雅黑" w:cs="微软雅黑" w:hint="eastAsia"/>
          <w:lang w:eastAsia="zh-CN"/>
        </w:rPr>
        <w:t>月</w:t>
      </w:r>
      <w:r>
        <w:t xml:space="preserve"> | V1.0</w:t>
      </w:r>
      <w:r/>
    </w:p>
    <w:p>
      <w:pPr>
        <w:sectPr>
          <w:type w:val="nextPage"/>
          <w:pgSz w:w="11906" w:h="16838"/>
          <w:pgMar w:top="1440" w:bottom="1440" w:left="1797" w:right="1797"/>
        </w:sectPr>
      </w:pPr>
    </w:p>
    <w:p>
      <w:pPr>
        <w:spacing w:after="180"/>
      </w:pPr>
      <w:r/>
      <w:r>
        <w:rPr>
          <w:b/>
        </w:rPr>
        <w:t>目录</w:t>
      </w:r>
    </w:p>
    <w:p>
      <w:hyperlink w:anchor="_Toc_s0">
        <w:r>
          <w:rPr>
            <w:rFonts w:hint="eastAsia"/>
            <w:color w:val="000000"/>
            <w:u w:val="none"/>
          </w:rPr>
          <w:t xml:space="preserve">项目基本信息</w:t>
        </w:r>
      </w:hyperlink>
    </w:p>
    <w:p>
      <w:hyperlink w:anchor="_Toc_s1">
        <w:r>
          <w:rPr>
            <w:rFonts w:hint="eastAsia"/>
            <w:color w:val="000000"/>
            <w:u w:val="none"/>
          </w:rPr>
          <w:t xml:space="preserve">一、项目概况</w:t>
        </w:r>
      </w:hyperlink>
    </w:p>
    <w:p>
      <w:hyperlink w:anchor="_Toc_s2">
        <w:r>
          <w:rPr>
            <w:rFonts w:hint="eastAsia"/>
            <w:color w:val="000000"/>
            <w:u w:val="none"/>
          </w:rPr>
          <w:t xml:space="preserve">二、项目背景与必要性</w:t>
        </w:r>
      </w:hyperlink>
    </w:p>
    <w:p>
      <w:hyperlink w:anchor="_Toc_s3">
        <w:r>
          <w:rPr>
            <w:rFonts w:hint="eastAsia"/>
            <w:color w:val="000000"/>
            <w:u w:val="none"/>
          </w:rPr>
          <w:t xml:space="preserve">三、项目建设方案</w:t>
        </w:r>
      </w:hyperlink>
    </w:p>
    <w:p>
      <w:hyperlink w:anchor="_Toc_s4">
        <w:r>
          <w:rPr>
            <w:rFonts w:hint="eastAsia"/>
            <w:color w:val="000000"/>
            <w:u w:val="none"/>
          </w:rPr>
          <w:t xml:space="preserve">四、投资估算与资金来源</w:t>
        </w:r>
      </w:hyperlink>
    </w:p>
    <w:p>
      <w:hyperlink w:anchor="_Toc_s5">
        <w:r>
          <w:rPr>
            <w:rFonts w:hint="eastAsia"/>
            <w:color w:val="000000"/>
            <w:u w:val="none"/>
          </w:rPr>
          <w:t xml:space="preserve">五、运营模式与效益分析</w:t>
        </w:r>
      </w:hyperlink>
    </w:p>
    <w:p>
      <w:hyperlink w:anchor="_Toc_s6">
        <w:r>
          <w:rPr>
            <w:rFonts w:hint="eastAsia"/>
            <w:color w:val="000000"/>
            <w:u w:val="none"/>
          </w:rPr>
          <w:t xml:space="preserve">六、政策契合与试点申报</w:t>
        </w:r>
      </w:hyperlink>
    </w:p>
    <w:p>
      <w:hyperlink w:anchor="_Toc_s7">
        <w:r>
          <w:rPr>
            <w:rFonts w:hint="eastAsia"/>
            <w:color w:val="000000"/>
            <w:u w:val="none"/>
          </w:rPr>
          <w:t xml:space="preserve">七、风险分析与对策</w:t>
        </w:r>
      </w:hyperlink>
    </w:p>
    <w:p>
      <w:hyperlink w:anchor="_Toc_s8">
        <w:r>
          <w:rPr>
            <w:rFonts w:hint="eastAsia"/>
            <w:color w:val="000000"/>
            <w:u w:val="none"/>
          </w:rPr>
          <w:t xml:space="preserve">八、结论与建议</w:t>
        </w:r>
      </w:hyperlink>
    </w:p>
    <w:p>
      <w:pPr>
        <w:pStyle w:val="Heading2"/>
        <w:spacing w:before="520" w:after="195"/>
      </w:pPr>
      <w:r>
        <w:rPr>
          <w:rFonts w:ascii="微软雅黑" w:hAnsi="微软雅黑" w:eastAsia="微软雅黑" w:cs="微软雅黑" w:hint="eastAsia"/>
          <w:b/>
          <w:color w:val="1A237E"/>
          <w:sz w:val="26"/>
          <w:lang w:eastAsia="zh-CN"/>
        </w:rPr>
        <w:t>执行摘要</w:t>
      </w:r>
      <w:r/>
      <w:r>
        <w:rPr>
          <w:i/>
          <w:color w:val="666666"/>
          <w:sz w:val="16"/>
        </w:rPr>
        <w:t>Executive Summary</w:t>
      </w:r>
      <w:r/>
    </w:p>
    <w:p/>
    <w:tbl>
      <w:tblPr>
        <w:tblW w:type="auto" w:w="0"/>
        <w:tblLook w:firstColumn="1" w:firstRow="1" w:lastColumn="0" w:lastRow="0" w:noHBand="0" w:noVBand="1" w:val="04A0"/>
      </w:tblPr>
      <w:tblGrid>
        <w:gridCol w:w="8640"/>
      </w:tblGrid>
      <w:tr>
        <w:tc>
          <w:tcPr>
            <w:tcW w:type="dxa" w:w="8640"/>
            <w:tcBorders>
              <w:top w:val="single" w:sz="18" w:space="0" w:color="333333"/>
            </w:tcBorders>
          </w:tcPr>
          <w:p>
            <w:r/>
            <w:r>
              <w:rPr>
                <w:color w:val="666666"/>
                <w:sz w:val="18"/>
              </w:rPr>
              <w:t>项目总投资</w:t>
            </w:r>
          </w:p>
          <w:p>
            <w:r>
              <w:rPr>
                <w:b/>
                <w:color w:val="111827"/>
                <w:sz w:val="36"/>
              </w:rPr>
              <w:t>13.0</w:t>
            </w:r>
            <w:r>
              <w:rPr>
                <w:color w:val="666666"/>
                <w:sz w:val="18"/>
              </w:rPr>
              <w:t xml:space="preserve"> 亿元（含天下点秀平台0.2亿元）</w:t>
            </w:r>
          </w:p>
        </w:tc>
      </w:tr>
    </w:tbl>
    <w:tbl>
      <w:tblPr>
        <w:tblW w:type="auto" w:w="0"/>
        <w:tblLook w:firstColumn="1" w:firstRow="1" w:lastColumn="0" w:lastRow="0" w:noHBand="0" w:noVBand="1" w:val="04A0"/>
      </w:tblPr>
      <w:tblGrid>
        <w:gridCol w:w="8640"/>
      </w:tblGrid>
      <w:tr>
        <w:tc>
          <w:tcPr>
            <w:tcW w:type="dxa" w:w="8640"/>
            <w:tcBorders>
              <w:top w:val="single" w:sz="18" w:space="0" w:color="333333"/>
            </w:tcBorders>
          </w:tcPr>
          <w:p>
            <w:r/>
            <w:r>
              <w:rPr>
                <w:color w:val="666666"/>
                <w:sz w:val="18"/>
              </w:rPr>
              <w:t>建设周期</w:t>
            </w:r>
          </w:p>
          <w:p>
            <w:r>
              <w:rPr>
                <w:b/>
                <w:color w:val="111827"/>
                <w:sz w:val="36"/>
              </w:rPr>
              <w:t>3+2</w:t>
            </w:r>
            <w:r>
              <w:rPr>
                <w:color w:val="666666"/>
                <w:sz w:val="18"/>
              </w:rPr>
              <w:t xml:space="preserve"> 3年建成 · 5年成熟</w:t>
            </w:r>
          </w:p>
        </w:tc>
      </w:tr>
    </w:tbl>
    <w:tbl>
      <w:tblPr>
        <w:tblW w:type="auto" w:w="0"/>
        <w:tblLook w:firstColumn="1" w:firstRow="1" w:lastColumn="0" w:lastRow="0" w:noHBand="0" w:noVBand="1" w:val="04A0"/>
      </w:tblPr>
      <w:tblGrid>
        <w:gridCol w:w="8640"/>
      </w:tblGrid>
      <w:tr>
        <w:tc>
          <w:tcPr>
            <w:tcW w:type="dxa" w:w="8640"/>
            <w:tcBorders>
              <w:top w:val="single" w:sz="18" w:space="0" w:color="333333"/>
            </w:tcBorders>
          </w:tcPr>
          <w:p>
            <w:r/>
            <w:r>
              <w:rPr>
                <w:color w:val="666666"/>
                <w:sz w:val="18"/>
              </w:rPr>
              <w:t>成熟期年营收</w:t>
            </w:r>
          </w:p>
          <w:p>
            <w:r>
              <w:rPr>
                <w:b/>
                <w:color w:val="111827"/>
                <w:sz w:val="36"/>
              </w:rPr>
              <w:t>6.8</w:t>
            </w:r>
            <w:r>
              <w:rPr>
                <w:color w:val="666666"/>
                <w:sz w:val="18"/>
              </w:rPr>
              <w:t xml:space="preserve"> 亿元/年</w:t>
            </w:r>
          </w:p>
        </w:tc>
      </w:tr>
    </w:tbl>
    <w:tbl>
      <w:tblPr>
        <w:tblW w:type="auto" w:w="0"/>
        <w:tblLook w:firstColumn="1" w:firstRow="1" w:lastColumn="0" w:lastRow="0" w:noHBand="0" w:noVBand="1" w:val="04A0"/>
      </w:tblPr>
      <w:tblGrid>
        <w:gridCol w:w="8640"/>
      </w:tblGrid>
      <w:tr>
        <w:tc>
          <w:tcPr>
            <w:tcW w:type="dxa" w:w="8640"/>
            <w:tcBorders>
              <w:top w:val="single" w:sz="18" w:space="0" w:color="333333"/>
            </w:tcBorders>
          </w:tcPr>
          <w:p>
            <w:r/>
            <w:r>
              <w:rPr>
                <w:color w:val="666666"/>
                <w:sz w:val="18"/>
              </w:rPr>
              <w:t>投资回收期</w:t>
            </w:r>
          </w:p>
          <w:p>
            <w:r>
              <w:rPr>
                <w:b/>
                <w:color w:val="111827"/>
                <w:sz w:val="36"/>
              </w:rPr>
              <w:t>5—6</w:t>
            </w:r>
            <w:r>
              <w:rPr>
                <w:color w:val="666666"/>
                <w:sz w:val="18"/>
              </w:rPr>
              <w:t xml:space="preserve"> 年（含建设期）</w:t>
            </w:r>
          </w:p>
        </w:tc>
      </w:tr>
    </w:tbl>
    <w:p/>
    <w:p>
      <w:pPr>
        <w:spacing w:after="180"/>
      </w:pPr>
      <w:r>
        <w:rPr>
          <w:rFonts w:ascii="微软雅黑" w:eastAsia="微软雅黑" w:hAnsi="微软雅黑" w:cs="微软雅黑" w:hint="eastAsia"/>
          <w:lang w:eastAsia="zh-CN"/>
        </w:rPr>
        <w:t>本项目以原创文化超级</w:t>
      </w:r>
      <w:r>
        <w:t>IP</w:t>
      </w:r>
      <w:r>
        <w:rPr>
          <w:rFonts w:ascii="微软雅黑" w:eastAsia="微软雅黑" w:hAnsi="微软雅黑" w:cs="微软雅黑" w:hint="eastAsia"/>
          <w:lang w:eastAsia="zh-CN"/>
        </w:rPr>
        <w:t>「长潭五句」为精神内核</w:t>
      </w:r>
      <w:r>
        <w:t>——</w:t>
      </w:r>
      <w:r>
        <w:rPr>
          <w:rFonts w:ascii="微软雅黑" w:eastAsia="微软雅黑" w:hAnsi="微软雅黑" w:cs="微软雅黑" w:hint="eastAsia"/>
          <w:lang w:eastAsia="zh-CN"/>
        </w:rPr>
        <w:t>为天地</w:t>
      </w:r>
      <w:r>
        <w:t>AI</w:t>
      </w:r>
      <w:r>
        <w:rPr>
          <w:rFonts w:ascii="微软雅黑" w:eastAsia="微软雅黑" w:hAnsi="微软雅黑" w:cs="微软雅黑" w:hint="eastAsia"/>
          <w:lang w:eastAsia="zh-CN"/>
        </w:rPr>
        <w:t>立心，为区块链固本，为元宇宙证道，为科技划时代，为万世开太平</w:t>
      </w:r>
      <w:r>
        <w:t>——</w:t>
      </w:r>
      <w:r>
        <w:rPr>
          <w:rFonts w:ascii="微软雅黑" w:eastAsia="微软雅黑" w:hAnsi="微软雅黑" w:cs="微软雅黑" w:hint="eastAsia"/>
          <w:lang w:eastAsia="zh-CN"/>
        </w:rPr>
        <w:t>在长株潭生态绿心核心区（昭山</w:t>
      </w:r>
      <w:r>
        <w:t>—</w:t>
      </w:r>
      <w:r>
        <w:rPr>
          <w:rFonts w:ascii="微软雅黑" w:eastAsia="微软雅黑" w:hAnsi="微软雅黑" w:cs="微软雅黑" w:hint="eastAsia"/>
          <w:lang w:eastAsia="zh-CN"/>
        </w:rPr>
        <w:t>三界碑</w:t>
      </w:r>
      <w:r>
        <w:t>—</w:t>
      </w:r>
      <w:r>
        <w:rPr>
          <w:rFonts w:ascii="微软雅黑" w:eastAsia="微软雅黑" w:hAnsi="微软雅黑" w:cs="微软雅黑" w:hint="eastAsia"/>
          <w:lang w:eastAsia="zh-CN"/>
        </w:rPr>
        <w:t>九郎山一带）建设集东方思想圣地、数字游民天堂、超级个体创业港、分布式众创集群、天下点秀数字生态于一体的产业综合体，在「北有横渠、南有长潭」的全球文化格局中确立东方坐标。项目总投资约</w:t>
      </w:r>
      <w:r>
        <w:t>13.0</w:t>
      </w:r>
      <w:r>
        <w:rPr>
          <w:rFonts w:ascii="微软雅黑" w:eastAsia="微软雅黑" w:hAnsi="微软雅黑" w:cs="微软雅黑" w:hint="eastAsia"/>
          <w:lang w:eastAsia="zh-CN"/>
        </w:rPr>
        <w:t>亿元，以社会资本为主、政府专项资金撬动，</w:t>
      </w:r>
      <w:r>
        <w:t>3</w:t>
      </w:r>
      <w:r>
        <w:rPr>
          <w:rFonts w:ascii="微软雅黑" w:eastAsia="微软雅黑" w:hAnsi="微软雅黑" w:cs="微软雅黑" w:hint="eastAsia"/>
          <w:lang w:eastAsia="zh-CN"/>
        </w:rPr>
        <w:t>年建成、</w:t>
      </w:r>
      <w:r>
        <w:t>5</w:t>
      </w:r>
      <w:r>
        <w:rPr>
          <w:rFonts w:ascii="微软雅黑" w:eastAsia="微软雅黑" w:hAnsi="微软雅黑" w:cs="微软雅黑" w:hint="eastAsia"/>
          <w:lang w:eastAsia="zh-CN"/>
        </w:rPr>
        <w:t>年成熟，成熟期预计年营收约</w:t>
      </w:r>
      <w:r>
        <w:t>6.8</w:t>
      </w:r>
      <w:r>
        <w:rPr>
          <w:rFonts w:ascii="微软雅黑" w:eastAsia="微软雅黑" w:hAnsi="微软雅黑" w:cs="微软雅黑" w:hint="eastAsia"/>
          <w:lang w:eastAsia="zh-CN"/>
        </w:rPr>
        <w:t>亿元，全面契合湖南「三高四新」、长株潭一体化、绿心保值增值与</w:t>
      </w:r>
      <w:r>
        <w:t>OPC</w:t>
      </w:r>
      <w:r>
        <w:rPr>
          <w:rFonts w:ascii="微软雅黑" w:eastAsia="微软雅黑" w:hAnsi="微软雅黑" w:cs="微软雅黑" w:hint="eastAsia"/>
          <w:lang w:eastAsia="zh-CN"/>
        </w:rPr>
        <w:t>一人公司扶持等核心政策，可申报多重国家级试点。</w:t>
      </w:r>
    </w:p>
    <w:p>
      <w:bookmarkStart w:id="9" w:name="_Toc_s0"/>
      <w:bookmarkStart w:id="0" w:name="s0"/>
      <w:pPr>
        <w:pStyle w:val="Heading2"/>
        <w:spacing w:before="520" w:after="195"/>
      </w:pPr>
      <w:bookmarkEnd w:id="0"/>
      <w:r>
        <w:rPr>
          <w:rFonts w:ascii="微软雅黑" w:hAnsi="微软雅黑" w:eastAsia="微软雅黑" w:cs="微软雅黑" w:hint="eastAsia"/>
          <w:b/>
          <w:color w:val="1A237E"/>
          <w:sz w:val="26"/>
          <w:lang w:eastAsia="zh-CN"/>
        </w:rPr>
        <w:t>项目基本信息</w:t>
      </w:r>
      <w:bookmarkEnd w:id="9"/>
    </w:p>
    <w:tbl>
      <w:tblPr>
        <w:tblW w:type="pct" w:w="5000"/>
        <w:tblLayout w:type="autofit"/>
        <w:tblLook w:firstColumn="1" w:firstRow="1" w:lastColumn="0" w:lastRow="0" w:noHBand="0" w:noVBand="1" w:val="04A0"/>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90" w:type="dxa"/>
              <w:bottom w:w="90" w:type="dxa"/>
              <w:left w:w="150" w:type="dxa"/>
              <w:right w:w="150" w:type="dxa"/>
            </w:tcMar>
          </w:tcPr>
          <w:p>
            <w:pPr>
              <w:jc w:val="left"/>
              <w:spacing w:line="240" w:lineRule="auto" w:before="45" w:after="45"/>
            </w:pPr>
            <w:r>
              <w:rPr>
                <w:rFonts w:ascii="微软雅黑" w:hAnsi="微软雅黑" w:eastAsia="微软雅黑" w:hint="eastAsia"/>
                <w:b/>
                <w:sz w:val="18"/>
              </w:rPr>
              <w:t>项目</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90" w:type="dxa"/>
              <w:bottom w:w="90" w:type="dxa"/>
              <w:left w:w="150" w:type="dxa"/>
              <w:right w:w="150" w:type="dxa"/>
            </w:tcMar>
          </w:tcPr>
          <w:p>
            <w:pPr>
              <w:jc w:val="left"/>
              <w:spacing w:line="240" w:lineRule="auto" w:before="45" w:after="45"/>
            </w:pPr>
            <w:r>
              <w:rPr>
                <w:rFonts w:ascii="微软雅黑" w:hAnsi="微软雅黑" w:eastAsia="微软雅黑" w:hint="eastAsia"/>
                <w:b/>
                <w:sz w:val="18"/>
              </w:rPr>
              <w:t>内容</w:t>
            </w:r>
          </w:p>
        </w:tc>
      </w:tr>
      <w:tr>
        <w:tc>
          <w:tcPr>
            <w:tcW w:type="dxa" w:w="1920"/>
            <w:vAlign w:val="center"/>
            <w:tcBorders>
              <w:top w:val="single" w:sz="6" w:space="0" w:color="E0E0E0"/>
              <w:bottom w:val="single" w:sz="6" w:space="0" w:color="E0E0E0"/>
              <w:left w:val="single" w:sz="6" w:space="0" w:color="E0E0E0"/>
              <w:right w:val="single" w:sz="6" w:space="0" w:color="E0E0E0"/>
            </w:tcBorders>
            <w:shd w:val="clear" w:color="auto" w:fill="F5F7FA"/>
            <w:tcMar>
              <w:top w:w="90" w:type="dxa"/>
              <w:bottom w:w="90" w:type="dxa"/>
              <w:left w:w="150" w:type="dxa"/>
              <w:right w:w="150" w:type="dxa"/>
            </w:tcMar>
          </w:tcPr>
          <w:p>
            <w:pPr>
              <w:jc w:val="left"/>
              <w:spacing w:line="240" w:lineRule="auto" w:before="45" w:after="45"/>
            </w:pPr>
            <w:r>
              <w:rPr>
                <w:sz w:val="18"/>
              </w:rPr>
              <w:t>项目名称</w:t>
            </w:r>
          </w:p>
        </w:tc>
        <w:tc>
          <w:tcPr>
            <w:tcW w:type="dxa" w:w="432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长潭五句文化科技</w:t>
            </w:r>
            <w:r>
              <w:rPr>
                <w:sz w:val="18"/>
              </w:rPr>
              <w:t xml:space="preserve"> </w:t>
            </w:r>
            <w:r>
              <w:rPr>
                <w:sz w:val="18"/>
              </w:rPr>
              <w:t>IP</w:t>
            </w:r>
            <w:r>
              <w:rPr>
                <w:sz w:val="18"/>
              </w:rPr>
              <w:t xml:space="preserve"> </w:t>
            </w:r>
            <w:r>
              <w:rPr>
                <w:sz w:val="18"/>
              </w:rPr>
              <w:t>综合体项目</w:t>
            </w:r>
          </w:p>
        </w:tc>
      </w:tr>
      <w:tr>
        <w:tc>
          <w:tcPr>
            <w:tcW w:type="dxa" w:w="1920"/>
            <w:vAlign w:val="center"/>
            <w:tcBorders>
              <w:top w:val="single" w:sz="6" w:space="0" w:color="E0E0E0"/>
              <w:bottom w:val="single" w:sz="6" w:space="0" w:color="E0E0E0"/>
              <w:left w:val="single" w:sz="6" w:space="0" w:color="E0E0E0"/>
              <w:right w:val="single" w:sz="6" w:space="0" w:color="E0E0E0"/>
            </w:tcBorders>
            <w:shd w:val="clear" w:color="auto" w:fill="F5F7FA"/>
            <w:tcMar>
              <w:top w:w="90" w:type="dxa"/>
              <w:bottom w:w="90" w:type="dxa"/>
              <w:left w:w="150" w:type="dxa"/>
              <w:right w:w="150" w:type="dxa"/>
            </w:tcMar>
          </w:tcPr>
          <w:p>
            <w:pPr>
              <w:jc w:val="left"/>
              <w:spacing w:line="240" w:lineRule="auto" w:before="45" w:after="45"/>
            </w:pPr>
            <w:r>
              <w:rPr>
                <w:sz w:val="18"/>
              </w:rPr>
              <w:t>项目性质</w:t>
            </w:r>
          </w:p>
        </w:tc>
        <w:tc>
          <w:tcPr>
            <w:tcW w:type="dxa" w:w="432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新建</w:t>
            </w:r>
            <w:r>
              <w:rPr>
                <w:sz w:val="18"/>
              </w:rPr>
              <w:t xml:space="preserve"> </w:t>
            </w:r>
            <w:r>
              <w:rPr>
                <w:sz w:val="18"/>
              </w:rPr>
              <w:t>——</w:t>
            </w:r>
            <w:r>
              <w:rPr>
                <w:sz w:val="18"/>
              </w:rPr>
              <w:t xml:space="preserve"> </w:t>
            </w:r>
            <w:r>
              <w:rPr>
                <w:sz w:val="18"/>
              </w:rPr>
              <w:t>文化科技融合类产业项目</w:t>
            </w:r>
          </w:p>
        </w:tc>
      </w:tr>
      <w:tr>
        <w:tc>
          <w:tcPr>
            <w:tcW w:type="dxa" w:w="1920"/>
            <w:vAlign w:val="center"/>
            <w:tcBorders>
              <w:top w:val="single" w:sz="6" w:space="0" w:color="E0E0E0"/>
              <w:bottom w:val="single" w:sz="6" w:space="0" w:color="E0E0E0"/>
              <w:left w:val="single" w:sz="6" w:space="0" w:color="E0E0E0"/>
              <w:right w:val="single" w:sz="6" w:space="0" w:color="E0E0E0"/>
            </w:tcBorders>
            <w:shd w:val="clear" w:color="auto" w:fill="F5F7FA"/>
            <w:tcMar>
              <w:top w:w="90" w:type="dxa"/>
              <w:bottom w:w="90" w:type="dxa"/>
              <w:left w:w="150" w:type="dxa"/>
              <w:right w:w="150" w:type="dxa"/>
            </w:tcMar>
          </w:tcPr>
          <w:p>
            <w:pPr>
              <w:jc w:val="left"/>
              <w:spacing w:line="240" w:lineRule="auto" w:before="45" w:after="45"/>
            </w:pPr>
            <w:r>
              <w:rPr>
                <w:sz w:val="18"/>
              </w:rPr>
              <w:t>建设地点</w:t>
            </w:r>
          </w:p>
        </w:tc>
        <w:tc>
          <w:tcPr>
            <w:tcW w:type="dxa" w:w="432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长株潭生态绿心核心区（昭山</w:t>
            </w:r>
            <w:r>
              <w:rPr>
                <w:sz w:val="18"/>
              </w:rPr>
              <w:t xml:space="preserve"> </w:t>
            </w:r>
            <w:r>
              <w:rPr>
                <w:sz w:val="18"/>
              </w:rPr>
              <w:t>—</w:t>
            </w:r>
            <w:r>
              <w:rPr>
                <w:sz w:val="18"/>
              </w:rPr>
              <w:t xml:space="preserve"> </w:t>
            </w:r>
            <w:r>
              <w:rPr>
                <w:sz w:val="18"/>
              </w:rPr>
              <w:t>三界碑</w:t>
            </w:r>
            <w:r>
              <w:rPr>
                <w:sz w:val="18"/>
              </w:rPr>
              <w:t xml:space="preserve"> </w:t>
            </w:r>
            <w:r>
              <w:rPr>
                <w:sz w:val="18"/>
              </w:rPr>
              <w:t>—</w:t>
            </w:r>
            <w:r>
              <w:rPr>
                <w:sz w:val="18"/>
              </w:rPr>
              <w:t xml:space="preserve"> </w:t>
            </w:r>
            <w:r>
              <w:rPr>
                <w:sz w:val="18"/>
              </w:rPr>
              <w:t>九郎山一带）</w:t>
            </w:r>
          </w:p>
        </w:tc>
      </w:tr>
      <w:tr>
        <w:tc>
          <w:tcPr>
            <w:tcW w:type="dxa" w:w="1920"/>
            <w:vAlign w:val="center"/>
            <w:tcBorders>
              <w:top w:val="single" w:sz="6" w:space="0" w:color="E0E0E0"/>
              <w:bottom w:val="single" w:sz="6" w:space="0" w:color="E0E0E0"/>
              <w:left w:val="single" w:sz="6" w:space="0" w:color="E0E0E0"/>
              <w:right w:val="single" w:sz="6" w:space="0" w:color="E0E0E0"/>
            </w:tcBorders>
            <w:shd w:val="clear" w:color="auto" w:fill="F5F7FA"/>
            <w:tcMar>
              <w:top w:w="90" w:type="dxa"/>
              <w:bottom w:w="90" w:type="dxa"/>
              <w:left w:w="150" w:type="dxa"/>
              <w:right w:w="150" w:type="dxa"/>
            </w:tcMar>
          </w:tcPr>
          <w:p>
            <w:pPr>
              <w:jc w:val="left"/>
              <w:spacing w:line="240" w:lineRule="auto" w:before="45" w:after="45"/>
            </w:pPr>
            <w:r>
              <w:rPr>
                <w:sz w:val="18"/>
              </w:rPr>
              <w:t>建设周期</w:t>
            </w:r>
          </w:p>
        </w:tc>
        <w:tc>
          <w:tcPr>
            <w:tcW w:type="dxa" w:w="432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3</w:t>
            </w:r>
            <w:r>
              <w:rPr>
                <w:sz w:val="18"/>
              </w:rPr>
              <w:t xml:space="preserve"> </w:t>
            </w:r>
            <w:r>
              <w:rPr>
                <w:sz w:val="18"/>
              </w:rPr>
              <w:t>年建成、</w:t>
            </w:r>
            <w:r>
              <w:rPr>
                <w:sz w:val="18"/>
              </w:rPr>
              <w:t xml:space="preserve"> </w:t>
            </w:r>
            <w:r>
              <w:rPr>
                <w:sz w:val="18"/>
              </w:rPr>
              <w:t>5</w:t>
            </w:r>
            <w:r>
              <w:rPr>
                <w:sz w:val="18"/>
              </w:rPr>
              <w:t xml:space="preserve"> </w:t>
            </w:r>
            <w:r>
              <w:rPr>
                <w:sz w:val="18"/>
              </w:rPr>
              <w:t>年成熟</w:t>
            </w:r>
          </w:p>
        </w:tc>
      </w:tr>
      <w:tr>
        <w:tc>
          <w:tcPr>
            <w:tcW w:type="dxa" w:w="1920"/>
            <w:vAlign w:val="center"/>
            <w:tcBorders>
              <w:top w:val="single" w:sz="6" w:space="0" w:color="E0E0E0"/>
              <w:bottom w:val="single" w:sz="6" w:space="0" w:color="E0E0E0"/>
              <w:left w:val="single" w:sz="6" w:space="0" w:color="E0E0E0"/>
              <w:right w:val="single" w:sz="6" w:space="0" w:color="E0E0E0"/>
            </w:tcBorders>
            <w:shd w:val="clear" w:color="auto" w:fill="F5F7FA"/>
            <w:tcMar>
              <w:top w:w="90" w:type="dxa"/>
              <w:bottom w:w="90" w:type="dxa"/>
              <w:left w:w="150" w:type="dxa"/>
              <w:right w:w="150" w:type="dxa"/>
            </w:tcMar>
          </w:tcPr>
          <w:p>
            <w:pPr>
              <w:jc w:val="left"/>
              <w:spacing w:line="240" w:lineRule="auto" w:before="45" w:after="45"/>
            </w:pPr>
            <w:r>
              <w:rPr>
                <w:sz w:val="18"/>
              </w:rPr>
              <w:t>项目总投资</w:t>
            </w:r>
          </w:p>
        </w:tc>
        <w:tc>
          <w:tcPr>
            <w:tcW w:type="dxa" w:w="432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约</w:t>
            </w:r>
            <w:r>
              <w:rPr>
                <w:sz w:val="18"/>
              </w:rPr>
              <w:t xml:space="preserve"> </w:t>
            </w:r>
            <w:r>
              <w:rPr>
                <w:sz w:val="18"/>
              </w:rPr>
              <w:t>13.0</w:t>
            </w:r>
            <w:r>
              <w:rPr>
                <w:sz w:val="18"/>
              </w:rPr>
              <w:t xml:space="preserve"> </w:t>
            </w:r>
            <w:r>
              <w:rPr>
                <w:sz w:val="18"/>
              </w:rPr>
              <w:t>亿元（含天下点秀数字平台专项投入</w:t>
            </w:r>
            <w:r>
              <w:rPr>
                <w:sz w:val="18"/>
              </w:rPr>
              <w:t xml:space="preserve"> </w:t>
            </w:r>
            <w:r>
              <w:rPr>
                <w:sz w:val="18"/>
              </w:rPr>
              <w:t>0.2</w:t>
            </w:r>
            <w:r>
              <w:rPr>
                <w:sz w:val="18"/>
              </w:rPr>
              <w:t xml:space="preserve"> </w:t>
            </w:r>
            <w:r>
              <w:rPr>
                <w:sz w:val="18"/>
              </w:rPr>
              <w:t>亿元）</w:t>
            </w:r>
          </w:p>
        </w:tc>
      </w:tr>
      <w:tr>
        <w:tc>
          <w:tcPr>
            <w:tcW w:type="dxa" w:w="1920"/>
            <w:vAlign w:val="center"/>
            <w:tcBorders>
              <w:top w:val="single" w:sz="6" w:space="0" w:color="E0E0E0"/>
              <w:bottom w:val="single" w:sz="6" w:space="0" w:color="E0E0E0"/>
              <w:left w:val="single" w:sz="6" w:space="0" w:color="E0E0E0"/>
              <w:right w:val="single" w:sz="6" w:space="0" w:color="E0E0E0"/>
            </w:tcBorders>
            <w:shd w:val="clear" w:color="auto" w:fill="F5F7FA"/>
            <w:tcMar>
              <w:top w:w="90" w:type="dxa"/>
              <w:bottom w:w="90" w:type="dxa"/>
              <w:left w:w="150" w:type="dxa"/>
              <w:right w:w="150" w:type="dxa"/>
            </w:tcMar>
          </w:tcPr>
          <w:p>
            <w:pPr>
              <w:jc w:val="left"/>
              <w:spacing w:line="240" w:lineRule="auto" w:before="45" w:after="45"/>
            </w:pPr>
            <w:r>
              <w:rPr>
                <w:sz w:val="18"/>
              </w:rPr>
              <w:t>申报单位</w:t>
            </w:r>
          </w:p>
        </w:tc>
        <w:tc>
          <w:tcPr>
            <w:tcW w:type="dxa" w:w="432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项目发起人／筹备机构（待正式注册后填列）</w:t>
            </w:r>
          </w:p>
        </w:tc>
      </w:tr>
      <w:tr>
        <w:tc>
          <w:tcPr>
            <w:tcW w:type="dxa" w:w="1920"/>
            <w:vAlign w:val="center"/>
            <w:tcBorders>
              <w:top w:val="single" w:sz="6" w:space="0" w:color="E0E0E0"/>
              <w:bottom w:val="single" w:sz="6" w:space="0" w:color="E0E0E0"/>
              <w:left w:val="single" w:sz="6" w:space="0" w:color="E0E0E0"/>
              <w:right w:val="single" w:sz="6" w:space="0" w:color="E0E0E0"/>
            </w:tcBorders>
            <w:shd w:val="clear" w:color="auto" w:fill="F5F7FA"/>
            <w:tcMar>
              <w:top w:w="90" w:type="dxa"/>
              <w:bottom w:w="90" w:type="dxa"/>
              <w:left w:w="150" w:type="dxa"/>
              <w:right w:w="150" w:type="dxa"/>
            </w:tcMar>
          </w:tcPr>
          <w:p>
            <w:pPr>
              <w:jc w:val="left"/>
              <w:spacing w:line="240" w:lineRule="auto" w:before="45" w:after="45"/>
            </w:pPr>
            <w:r>
              <w:rPr>
                <w:sz w:val="18"/>
              </w:rPr>
              <w:t>报告日期</w:t>
            </w:r>
          </w:p>
        </w:tc>
        <w:tc>
          <w:tcPr>
            <w:tcW w:type="dxa" w:w="432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2026</w:t>
            </w:r>
            <w:r>
              <w:rPr>
                <w:sz w:val="18"/>
              </w:rPr>
              <w:t xml:space="preserve"> </w:t>
            </w:r>
            <w:r>
              <w:rPr>
                <w:sz w:val="18"/>
              </w:rPr>
              <w:t>年</w:t>
            </w:r>
            <w:r>
              <w:rPr>
                <w:sz w:val="18"/>
              </w:rPr>
              <w:t xml:space="preserve"> </w:t>
            </w:r>
            <w:r>
              <w:rPr>
                <w:sz w:val="18"/>
              </w:rPr>
              <w:t>10</w:t>
            </w:r>
            <w:r>
              <w:rPr>
                <w:sz w:val="18"/>
              </w:rPr>
              <w:t xml:space="preserve"> </w:t>
            </w:r>
            <w:r>
              <w:rPr>
                <w:sz w:val="18"/>
              </w:rPr>
              <w:t>月</w:t>
            </w:r>
          </w:p>
        </w:tc>
      </w:tr>
    </w:tbl>
    <w:p>
      <w:bookmarkStart w:id="10" w:name="_Toc_s1"/>
      <w:bookmarkStart w:id="1" w:name="s1"/>
      <w:pPr>
        <w:pStyle w:val="Heading2"/>
        <w:spacing w:before="520" w:after="195"/>
      </w:pPr>
      <w:bookmarkEnd w:id="1"/>
      <w:r>
        <w:rPr>
          <w:rFonts w:ascii="微软雅黑" w:hAnsi="微软雅黑" w:eastAsia="微软雅黑" w:cs="微软雅黑" w:hint="eastAsia"/>
          <w:b/>
          <w:color w:val="1A237E"/>
          <w:sz w:val="26"/>
          <w:lang w:eastAsia="zh-CN"/>
        </w:rPr>
        <w:t>一、项目概况</w:t>
      </w:r>
      <w:bookmarkEnd w:id="10"/>
    </w:p>
    <w:p>
      <w:pPr>
        <w:spacing w:after="180"/>
      </w:pPr>
      <w:r>
        <w:rPr>
          <w:rFonts w:ascii="微软雅黑" w:eastAsia="微软雅黑" w:hAnsi="微软雅黑" w:cs="微软雅黑" w:hint="eastAsia"/>
          <w:lang w:eastAsia="zh-CN"/>
        </w:rPr>
        <w:t>本项目以原创文化超级</w:t>
      </w:r>
      <w:r>
        <w:t>IP</w:t>
      </w:r>
      <w:r>
        <w:rPr>
          <w:rFonts w:ascii="微软雅黑" w:eastAsia="微软雅黑" w:hAnsi="微软雅黑" w:cs="微软雅黑" w:hint="eastAsia"/>
          <w:lang w:eastAsia="zh-CN"/>
        </w:rPr>
        <w:t>「长潭五句」为精神内核</w:t>
      </w:r>
      <w:r>
        <w:t>——</w:t>
      </w:r>
      <w:r>
        <w:rPr>
          <w:rFonts w:ascii="微软雅黑" w:eastAsia="微软雅黑" w:hAnsi="微软雅黑" w:cs="微软雅黑" w:hint="eastAsia"/>
          <w:lang w:eastAsia="zh-CN"/>
        </w:rPr>
        <w:t>为天地</w:t>
      </w:r>
      <w:r>
        <w:t>AI</w:t>
      </w:r>
      <w:r>
        <w:rPr>
          <w:rFonts w:ascii="微软雅黑" w:eastAsia="微软雅黑" w:hAnsi="微软雅黑" w:cs="微软雅黑" w:hint="eastAsia"/>
          <w:lang w:eastAsia="zh-CN"/>
        </w:rPr>
        <w:t>立心，为区块链固本，为元宇宙证道，为科技划时代，为万世开太平</w:t>
      </w:r>
      <w:r>
        <w:t>——</w:t>
      </w:r>
      <w:r>
        <w:rPr>
          <w:rFonts w:ascii="微软雅黑" w:eastAsia="微软雅黑" w:hAnsi="微软雅黑" w:cs="微软雅黑" w:hint="eastAsia"/>
          <w:lang w:eastAsia="zh-CN"/>
        </w:rPr>
        <w:t>在长株潭生态绿心核心区，打造全球首个集「东方思想圣地＋数字游民天堂＋超级个体创业港＋分布式众创集群＋天下点秀数字生态」五位一体的产业综合体。</w:t>
      </w:r>
    </w:p>
    <w:p>
      <w:pPr>
        <w:spacing w:after="180"/>
      </w:pPr>
      <w:r>
        <w:rPr>
          <w:rFonts w:ascii="微软雅黑" w:eastAsia="微软雅黑" w:hAnsi="微软雅黑" w:cs="微软雅黑" w:hint="eastAsia"/>
          <w:lang w:eastAsia="zh-CN"/>
        </w:rPr>
        <w:t>项目对标西方好莱坞，在绿心打造东方「好来屋」太空舱聚落，在「北有横渠、南有长潭」的全球文化格局中站住东方坐标；联动项目方自持的天下点秀顶级域名与全类商标等不可复制数字资产，搭建超级个体专属数字平台，助力湖南建成世界数字文明策源地、国家文化科技融合示范区、中部</w:t>
      </w:r>
      <w:r>
        <w:t>OPC</w:t>
      </w:r>
      <w:r>
        <w:rPr>
          <w:rFonts w:ascii="微软雅黑" w:eastAsia="微软雅黑" w:hAnsi="微软雅黑" w:cs="微软雅黑" w:hint="eastAsia"/>
          <w:lang w:eastAsia="zh-CN"/>
        </w:rPr>
        <w:t>（一人公司）与超级个体创新高地。</w:t>
      </w:r>
    </w:p>
    <w:p>
      <w:pPr>
        <w:spacing w:after="180"/>
      </w:pPr>
      <w:r>
        <w:rPr>
          <w:rFonts w:ascii="微软雅黑" w:eastAsia="微软雅黑" w:hAnsi="微软雅黑" w:cs="微软雅黑" w:hint="eastAsia"/>
          <w:lang w:eastAsia="zh-CN"/>
        </w:rPr>
        <w:t>项目前期拟以</w:t>
      </w:r>
      <w:r>
        <w:t>100</w:t>
      </w:r>
      <w:r>
        <w:rPr>
          <w:rFonts w:ascii="微软雅黑" w:eastAsia="微软雅黑" w:hAnsi="微软雅黑" w:cs="微软雅黑" w:hint="eastAsia"/>
          <w:lang w:eastAsia="zh-CN"/>
        </w:rPr>
        <w:t>万元种子资金组建「</w:t>
      </w:r>
      <w:r>
        <w:t>AI</w:t>
      </w:r>
      <w:r>
        <w:rPr>
          <w:rFonts w:ascii="微软雅黑" w:eastAsia="微软雅黑" w:hAnsi="微软雅黑" w:cs="微软雅黑" w:hint="eastAsia"/>
          <w:lang w:eastAsia="zh-CN"/>
        </w:rPr>
        <w:t>智能体＋专业策划」团队，</w:t>
      </w:r>
      <w:r>
        <w:t>6</w:t>
      </w:r>
      <w:r>
        <w:rPr>
          <w:rFonts w:ascii="微软雅黑" w:eastAsia="微软雅黑" w:hAnsi="微软雅黑" w:cs="微软雅黑" w:hint="eastAsia"/>
          <w:lang w:eastAsia="zh-CN"/>
        </w:rPr>
        <w:t>个月内完成可行性研究报告、总体规划、投融资方案、政府申报材料等全套前期文件；主项目总投资约</w:t>
      </w:r>
      <w:r>
        <w:rPr>
          <w:rFonts w:ascii="微软雅黑" w:eastAsia="微软雅黑" w:hAnsi="微软雅黑" w:cs="微软雅黑" w:hint="eastAsia"/>
          <w:b/>
          <w:color w:val="000000"/>
          <w:lang w:eastAsia="zh-CN"/>
        </w:rPr>
        <w:t>13.0亿元</w:t>
      </w:r>
      <w:r>
        <w:rPr>
          <w:rFonts w:ascii="微软雅黑" w:eastAsia="微软雅黑" w:hAnsi="微软雅黑" w:cs="微软雅黑" w:hint="eastAsia"/>
          <w:lang w:eastAsia="zh-CN"/>
        </w:rPr>
        <w:t>，</w:t>
      </w:r>
      <w:r>
        <w:t>3</w:t>
      </w:r>
      <w:r>
        <w:rPr>
          <w:rFonts w:ascii="微软雅黑" w:eastAsia="微软雅黑" w:hAnsi="微软雅黑" w:cs="微软雅黑" w:hint="eastAsia"/>
          <w:lang w:eastAsia="zh-CN"/>
        </w:rPr>
        <w:t>年建成、</w:t>
      </w:r>
      <w:r>
        <w:t>5</w:t>
      </w:r>
      <w:r>
        <w:rPr>
          <w:rFonts w:ascii="微软雅黑" w:eastAsia="微软雅黑" w:hAnsi="微软雅黑" w:cs="微软雅黑" w:hint="eastAsia"/>
          <w:lang w:eastAsia="zh-CN"/>
        </w:rPr>
        <w:t>年成熟，成熟期预计年营收约</w:t>
      </w:r>
      <w:r>
        <w:rPr>
          <w:rFonts w:ascii="微软雅黑" w:eastAsia="微软雅黑" w:hAnsi="微软雅黑" w:cs="微软雅黑" w:hint="eastAsia"/>
          <w:b/>
          <w:color w:val="000000"/>
          <w:lang w:eastAsia="zh-CN"/>
        </w:rPr>
        <w:t>6.8亿元</w:t>
      </w:r>
      <w:r>
        <w:rPr>
          <w:rFonts w:ascii="微软雅黑" w:eastAsia="微软雅黑" w:hAnsi="微软雅黑" w:cs="微软雅黑" w:hint="eastAsia"/>
          <w:lang w:eastAsia="zh-CN"/>
        </w:rPr>
        <w:t>，投资回收期约</w:t>
      </w:r>
      <w:r>
        <w:t>5—6</w:t>
      </w:r>
      <w:r>
        <w:rPr>
          <w:rFonts w:ascii="微软雅黑" w:eastAsia="微软雅黑" w:hAnsi="微软雅黑" w:cs="微软雅黑" w:hint="eastAsia"/>
          <w:lang w:eastAsia="zh-CN"/>
        </w:rPr>
        <w:t>年（含建设期）。</w:t>
      </w:r>
    </w:p>
    <w:p>
      <w:bookmarkStart w:id="11" w:name="_Toc_s2"/>
      <w:bookmarkStart w:id="2" w:name="s2"/>
      <w:pPr>
        <w:pStyle w:val="Heading2"/>
        <w:spacing w:before="520" w:after="195"/>
      </w:pPr>
      <w:bookmarkEnd w:id="2"/>
      <w:r>
        <w:rPr>
          <w:rFonts w:ascii="微软雅黑" w:hAnsi="微软雅黑" w:eastAsia="微软雅黑" w:cs="微软雅黑" w:hint="eastAsia"/>
          <w:b/>
          <w:color w:val="1A237E"/>
          <w:sz w:val="26"/>
          <w:lang w:eastAsia="zh-CN"/>
        </w:rPr>
        <w:t>二、项目背景与必要性</w:t>
      </w:r>
      <w:bookmarkEnd w:id="11"/>
    </w:p>
    <w:p>
      <w:pPr>
        <w:spacing w:after="180"/>
      </w:pPr>
      <w:r>
        <w:rPr>
          <w:rFonts w:ascii="微软雅黑" w:eastAsia="微软雅黑" w:hAnsi="微软雅黑" w:cs="微软雅黑" w:hint="eastAsia"/>
          <w:lang w:eastAsia="zh-CN"/>
        </w:rPr>
        <w:t>本项目立项的时代动因、政策依据、文化渊源与四方面必要性如下。</w:t>
      </w:r>
    </w:p>
    <w:p>
      <w:pPr>
        <w:pStyle w:val="Heading3"/>
        <w:spacing w:before="200" w:after="150"/>
      </w:pPr>
      <w:r>
        <w:rPr>
          <w:rFonts w:ascii="微软雅黑" w:hAnsi="微软雅黑" w:eastAsia="微软雅黑" w:cs="微软雅黑" w:hint="eastAsia"/>
          <w:b/>
          <w:color w:val="1565C0"/>
          <w:sz w:val="20"/>
          <w:lang w:eastAsia="zh-CN"/>
        </w:rPr>
        <w:t>（一）时代背景：AI时代呼唤文明立心</w:t>
      </w:r>
    </w:p>
    <w:p>
      <w:pPr>
        <w:spacing w:after="180"/>
      </w:pPr>
      <w:r>
        <w:rPr>
          <w:rFonts w:ascii="微软雅黑" w:eastAsia="微软雅黑" w:hAnsi="微软雅黑" w:cs="微软雅黑" w:hint="eastAsia"/>
          <w:lang w:eastAsia="zh-CN"/>
        </w:rPr>
        <w:t>人工智能正在重构生产方式与文明形态，但技术狂奔之际，「</w:t>
      </w:r>
      <w:r>
        <w:t>AI</w:t>
      </w:r>
      <w:r>
        <w:rPr>
          <w:rFonts w:ascii="微软雅黑" w:eastAsia="微软雅黑" w:hAnsi="微软雅黑" w:cs="微软雅黑" w:hint="eastAsia"/>
          <w:lang w:eastAsia="zh-CN"/>
        </w:rPr>
        <w:t>向何处去」的价值之问悬而未决。北宋张载以横渠四句「为天地立心，为生民立命，为往圣继绝学，为万世开太平」立儒门千年使命；本项目据此提出数字文明的东方答问</w:t>
      </w:r>
      <w:r>
        <w:t>——</w:t>
      </w:r>
      <w:r>
        <w:rPr>
          <w:rFonts w:ascii="微软雅黑" w:eastAsia="微软雅黑" w:hAnsi="微软雅黑" w:cs="微软雅黑" w:hint="eastAsia"/>
          <w:lang w:eastAsia="zh-CN"/>
        </w:rPr>
        <w:t>长潭五句，其中第一句「为天地</w:t>
      </w:r>
      <w:r>
        <w:t>AI</w:t>
      </w:r>
      <w:r>
        <w:rPr>
          <w:rFonts w:ascii="微软雅黑" w:eastAsia="微软雅黑" w:hAnsi="微软雅黑" w:cs="微软雅黑" w:hint="eastAsia"/>
          <w:lang w:eastAsia="zh-CN"/>
        </w:rPr>
        <w:t>立心」直接承横渠「为天地立心」而来：天地本无心，以人心为心；智能时代</w:t>
      </w:r>
      <w:r>
        <w:t>AI</w:t>
      </w:r>
      <w:r>
        <w:rPr>
          <w:rFonts w:ascii="微软雅黑" w:eastAsia="微软雅黑" w:hAnsi="微软雅黑" w:cs="微软雅黑" w:hint="eastAsia"/>
          <w:lang w:eastAsia="zh-CN"/>
        </w:rPr>
        <w:t>即新天地，故须为「天地</w:t>
      </w:r>
      <w:r>
        <w:t>AI</w:t>
      </w:r>
      <w:r>
        <w:rPr>
          <w:rFonts w:ascii="微软雅黑" w:eastAsia="微软雅黑" w:hAnsi="微软雅黑" w:cs="微软雅黑" w:hint="eastAsia"/>
          <w:lang w:eastAsia="zh-CN"/>
        </w:rPr>
        <w:t>」立心，为人工智能赋予向善、求真、人文对齐的价值内核。毛泽东青年时代作《心之力》，倡「欲动天下者，当动天下之心」，其心力思想与本项目的立心主旨一脉相通。以东方思想回答</w:t>
      </w:r>
      <w:r>
        <w:t>AI</w:t>
      </w:r>
      <w:r>
        <w:rPr>
          <w:rFonts w:ascii="微软雅黑" w:eastAsia="微软雅黑" w:hAnsi="微软雅黑" w:cs="微软雅黑" w:hint="eastAsia"/>
          <w:lang w:eastAsia="zh-CN"/>
        </w:rPr>
        <w:t>伦理与数字文明治理，是时代留给中国的命题，也是湖南可以抢占的文明话语权。</w:t>
      </w:r>
    </w:p>
    <w:p>
      <w:pPr>
        <w:spacing w:after="180"/>
      </w:pPr>
      <w:r>
        <w:rPr>
          <w:rFonts w:ascii="微软雅黑" w:eastAsia="微软雅黑" w:hAnsi="微软雅黑" w:cs="微软雅黑" w:hint="eastAsia"/>
          <w:lang w:eastAsia="zh-CN"/>
        </w:rPr>
        <w:t xml:space="preserve">第二句「为区块链固本」，固的是以人为本这个本。区块链天生以人为本：去中心化不是去人，而是把记账、确权、分配交回个体；但链一旦只剩发币与炒作，便从人的底座沦为资本的工具。故本项目主张「以人为本的区块链」，并以区块链实现以人为本——让价值确权与信任底座真正落到每一个个体身上。</w:t>
      </w:r>
    </w:p>
    <w:p>
      <w:pPr>
        <w:pStyle w:val="Heading3"/>
        <w:spacing w:before="200" w:after="150"/>
      </w:pPr>
      <w:r>
        <w:rPr>
          <w:rFonts w:ascii="微软雅黑" w:hAnsi="微软雅黑" w:eastAsia="微软雅黑" w:cs="微软雅黑" w:hint="eastAsia"/>
          <w:b/>
          <w:color w:val="1565C0"/>
          <w:sz w:val="20"/>
          <w:lang w:eastAsia="zh-CN"/>
        </w:rPr>
        <w:t>（二）政策背景：多重政策红利叠加</w:t>
      </w:r>
    </w:p>
    <w:p>
      <w:pPr>
        <w:spacing w:after="180"/>
      </w:pPr>
      <w:r>
        <w:rPr>
          <w:rFonts w:ascii="微软雅黑" w:eastAsia="微软雅黑" w:hAnsi="微软雅黑" w:cs="微软雅黑" w:hint="eastAsia"/>
          <w:lang w:eastAsia="zh-CN"/>
        </w:rPr>
        <w:t>国家层面，《长株潭生态绿心加快绿色转型发展实施方案》明确支持生态文旅、科创与数字经济；国家「人工智能＋」行动、新质生产力、文化科技融合、数字游民、</w:t>
      </w:r>
      <w:r>
        <w:t>OPC</w:t>
      </w:r>
      <w:r>
        <w:rPr>
          <w:rFonts w:ascii="微软雅黑" w:eastAsia="微软雅黑" w:hAnsi="微软雅黑" w:cs="微软雅黑" w:hint="eastAsia"/>
          <w:lang w:eastAsia="zh-CN"/>
        </w:rPr>
        <w:t>一人公司等政策相继出台。湖南层面，全省深入实施「三高四新」战略，推进长株潭一体化，加码绿心生态价值与产业价值转化；长沙</w:t>
      </w:r>
      <w:r>
        <w:t>OPC</w:t>
      </w:r>
      <w:r>
        <w:rPr>
          <w:rFonts w:ascii="微软雅黑" w:eastAsia="微软雅黑" w:hAnsi="微软雅黑" w:cs="微软雅黑" w:hint="eastAsia"/>
          <w:lang w:eastAsia="zh-CN"/>
        </w:rPr>
        <w:t>专项扶持、马栏山文创园、湘江科学城等政策平台齐备。项目与上述政策高度契合，具备全方位政策支撑。</w:t>
      </w:r>
    </w:p>
    <w:p>
      <w:pPr>
        <w:pStyle w:val="Heading3"/>
        <w:spacing w:before="200" w:after="150"/>
      </w:pPr>
      <w:r>
        <w:rPr>
          <w:rFonts w:ascii="微软雅黑" w:hAnsi="微软雅黑" w:eastAsia="微软雅黑" w:cs="微软雅黑" w:hint="eastAsia"/>
          <w:b/>
          <w:color w:val="1565C0"/>
          <w:sz w:val="20"/>
          <w:lang w:eastAsia="zh-CN"/>
        </w:rPr>
        <w:t>（三）文化背景：北有横渠、南有长潭</w:t>
      </w:r>
    </w:p>
    <w:p>
      <w:pPr>
        <w:spacing w:after="180"/>
      </w:pPr>
      <w:r>
        <w:rPr>
          <w:rFonts w:ascii="微软雅黑" w:eastAsia="微软雅黑" w:hAnsi="微软雅黑" w:cs="微软雅黑" w:hint="eastAsia"/>
          <w:lang w:eastAsia="zh-CN"/>
        </w:rPr>
        <w:t>长潭之名，承衡岳余脉、湘江之洲，长株潭三市以昭山为绿心几何中心，毛主席青年时代曾在此留下足迹，潇湘八景「山市晴岚」即在于此。以昭山为原点立「长潭五句」，让长株潭从「经济融城」升级为「文明立城」，形成与横渠四句南北呼应的当代思想地标，填补湖湘文化在数字文明时代思想</w:t>
      </w:r>
      <w:r>
        <w:t>IP</w:t>
      </w:r>
      <w:r>
        <w:rPr>
          <w:rFonts w:ascii="微软雅黑" w:eastAsia="微软雅黑" w:hAnsi="微软雅黑" w:cs="微软雅黑" w:hint="eastAsia"/>
          <w:lang w:eastAsia="zh-CN"/>
        </w:rPr>
        <w:t>的空白。</w:t>
      </w:r>
    </w:p>
    <w:p>
      <w:pPr>
        <w:pStyle w:val="Heading3"/>
        <w:spacing w:before="200" w:after="150"/>
      </w:pPr>
      <w:r>
        <w:rPr>
          <w:rFonts w:ascii="微软雅黑" w:hAnsi="微软雅黑" w:eastAsia="微软雅黑" w:cs="微软雅黑" w:hint="eastAsia"/>
          <w:b/>
          <w:color w:val="1565C0"/>
          <w:sz w:val="20"/>
          <w:lang w:eastAsia="zh-CN"/>
        </w:rPr>
        <w:t>（四）立项必要性</w:t>
      </w:r>
    </w:p>
    <w:p>
      <w:pPr>
        <w:spacing w:after="180"/>
      </w:pPr>
      <w:r>
        <w:rPr>
          <w:rFonts w:ascii="微软雅黑" w:eastAsia="微软雅黑" w:hAnsi="微软雅黑" w:cs="微软雅黑" w:hint="eastAsia"/>
          <w:lang w:eastAsia="zh-CN"/>
        </w:rPr>
        <w:t>其一，抢占</w:t>
      </w:r>
      <w:r>
        <w:t>AI</w:t>
      </w:r>
      <w:r>
        <w:rPr>
          <w:rFonts w:ascii="微软雅黑" w:eastAsia="微软雅黑" w:hAnsi="微软雅黑" w:cs="微软雅黑" w:hint="eastAsia"/>
          <w:lang w:eastAsia="zh-CN"/>
        </w:rPr>
        <w:t>文化话语权需要实体载体：人民日报为</w:t>
      </w:r>
      <w:r>
        <w:t>AI</w:t>
      </w:r>
      <w:r>
        <w:rPr>
          <w:rFonts w:ascii="微软雅黑" w:eastAsia="微软雅黑" w:hAnsi="微软雅黑" w:cs="微软雅黑" w:hint="eastAsia"/>
          <w:lang w:eastAsia="zh-CN"/>
        </w:rPr>
        <w:t>征名，标志国家层面对</w:t>
      </w:r>
      <w:r>
        <w:t>AI</w:t>
      </w:r>
      <w:r>
        <w:rPr>
          <w:rFonts w:ascii="微软雅黑" w:eastAsia="微软雅黑" w:hAnsi="微软雅黑" w:cs="微软雅黑" w:hint="eastAsia"/>
          <w:lang w:eastAsia="zh-CN"/>
        </w:rPr>
        <w:t>文化定义权的争夺，湖南亟需以原创思想</w:t>
      </w:r>
      <w:r>
        <w:t>IP</w:t>
      </w:r>
      <w:r>
        <w:rPr>
          <w:rFonts w:ascii="微软雅黑" w:eastAsia="微软雅黑" w:hAnsi="微软雅黑" w:cs="微软雅黑" w:hint="eastAsia"/>
          <w:lang w:eastAsia="zh-CN"/>
        </w:rPr>
        <w:t>占领高地。其二，绿心保值增值需要产业路径：绿心从「生态保护」走向「生态＋文化＋科技＋产业」四维价值释放，需要一个轻资产、高显示度的旗舰项目作牵引。其三，人才战略需要集聚平台：湖南面临高端思想人才与数字创意外流，亟需以全球数字游民基地实现人才虹吸。其四，市场存在空白：国内尚无以东方顶级思想</w:t>
      </w:r>
      <w:r>
        <w:t>IP</w:t>
      </w:r>
      <w:r>
        <w:rPr>
          <w:rFonts w:ascii="微软雅黑" w:eastAsia="微软雅黑" w:hAnsi="微软雅黑" w:cs="微软雅黑" w:hint="eastAsia"/>
          <w:lang w:eastAsia="zh-CN"/>
        </w:rPr>
        <w:t>为核心、融合分布式居住与数字众创的特色产业项目，本项目具备唯一性。</w:t>
      </w:r>
    </w:p>
    <w:p>
      <w:bookmarkStart w:id="12" w:name="_Toc_s3"/>
      <w:bookmarkStart w:id="3" w:name="s3"/>
      <w:pPr>
        <w:pStyle w:val="Heading2"/>
        <w:spacing w:before="520" w:after="195"/>
      </w:pPr>
      <w:bookmarkEnd w:id="3"/>
      <w:r>
        <w:rPr>
          <w:rFonts w:ascii="微软雅黑" w:hAnsi="微软雅黑" w:eastAsia="微软雅黑" w:cs="微软雅黑" w:hint="eastAsia"/>
          <w:b/>
          <w:color w:val="1A237E"/>
          <w:sz w:val="26"/>
          <w:lang w:eastAsia="zh-CN"/>
        </w:rPr>
        <w:t>三、项目建设方案</w:t>
      </w:r>
      <w:bookmarkEnd w:id="12"/>
    </w:p>
    <w:p>
      <w:pPr>
        <w:spacing w:after="180"/>
      </w:pPr>
      <w:r>
        <w:rPr>
          <w:rFonts w:ascii="微软雅黑" w:eastAsia="微软雅黑" w:hAnsi="微软雅黑" w:cs="微软雅黑" w:hint="eastAsia"/>
          <w:lang w:eastAsia="zh-CN"/>
        </w:rPr>
        <w:t>项目按「</w:t>
      </w:r>
      <w:r>
        <w:t>1</w:t>
      </w:r>
      <w:r>
        <w:rPr>
          <w:rFonts w:ascii="微软雅黑" w:eastAsia="微软雅黑" w:hAnsi="微软雅黑" w:cs="微软雅黑" w:hint="eastAsia"/>
          <w:lang w:eastAsia="zh-CN"/>
        </w:rPr>
        <w:t>核</w:t>
      </w:r>
      <w:r>
        <w:t>·1</w:t>
      </w:r>
      <w:r>
        <w:rPr>
          <w:rFonts w:ascii="微软雅黑" w:eastAsia="微软雅黑" w:hAnsi="微软雅黑" w:cs="微软雅黑" w:hint="eastAsia"/>
          <w:lang w:eastAsia="zh-CN"/>
        </w:rPr>
        <w:t>堂</w:t>
      </w:r>
      <w:r>
        <w:t>·</w:t>
      </w:r>
      <w:r>
        <w:rPr>
          <w:rFonts w:ascii="微软雅黑" w:eastAsia="微软雅黑" w:hAnsi="微软雅黑" w:cs="微软雅黑" w:hint="eastAsia"/>
          <w:lang w:eastAsia="zh-CN"/>
        </w:rPr>
        <w:t>多舱</w:t>
      </w:r>
      <w:r>
        <w:t>·</w:t>
      </w:r>
      <w:r>
        <w:rPr>
          <w:rFonts w:ascii="微软雅黑" w:eastAsia="微软雅黑" w:hAnsi="微软雅黑" w:cs="微软雅黑" w:hint="eastAsia"/>
          <w:lang w:eastAsia="zh-CN"/>
        </w:rPr>
        <w:t>全网</w:t>
      </w:r>
      <w:r>
        <w:t>·</w:t>
      </w:r>
      <w:r>
        <w:rPr>
          <w:rFonts w:ascii="微软雅黑" w:eastAsia="微软雅黑" w:hAnsi="微软雅黑" w:cs="微软雅黑" w:hint="eastAsia"/>
          <w:lang w:eastAsia="zh-CN"/>
        </w:rPr>
        <w:t>一平台」总体布局，核心设施、开发节奏与建设时序如下。</w:t>
      </w:r>
    </w:p>
    <w:p>
      <w:pPr>
        <w:pStyle w:val="Heading3"/>
        <w:spacing w:before="200" w:after="150"/>
      </w:pPr>
      <w:r>
        <w:rPr>
          <w:rFonts w:ascii="微软雅黑" w:hAnsi="微软雅黑" w:eastAsia="微软雅黑" w:cs="微软雅黑" w:hint="eastAsia"/>
          <w:b/>
          <w:color w:val="1565C0"/>
          <w:sz w:val="20"/>
          <w:lang w:eastAsia="zh-CN"/>
        </w:rPr>
        <w:t>（一）总体布局</w:t>
      </w:r>
    </w:p>
    <w:p>
      <w:pPr>
        <w:spacing w:after="180"/>
      </w:pPr>
      <w:r>
        <w:rPr>
          <w:rFonts w:ascii="微软雅黑" w:eastAsia="微软雅黑" w:hAnsi="微软雅黑" w:cs="微软雅黑" w:hint="eastAsia"/>
          <w:lang w:eastAsia="zh-CN"/>
        </w:rPr>
        <w:t>项目按「</w:t>
      </w:r>
      <w:r>
        <w:t>1</w:t>
      </w:r>
      <w:r>
        <w:rPr>
          <w:rFonts w:ascii="微软雅黑" w:eastAsia="微软雅黑" w:hAnsi="微软雅黑" w:cs="微软雅黑" w:hint="eastAsia"/>
          <w:lang w:eastAsia="zh-CN"/>
        </w:rPr>
        <w:t>核</w:t>
      </w:r>
      <w:r>
        <w:t>·1</w:t>
      </w:r>
      <w:r>
        <w:rPr>
          <w:rFonts w:ascii="微软雅黑" w:eastAsia="微软雅黑" w:hAnsi="微软雅黑" w:cs="微软雅黑" w:hint="eastAsia"/>
          <w:lang w:eastAsia="zh-CN"/>
        </w:rPr>
        <w:t>堂</w:t>
      </w:r>
      <w:r>
        <w:t>·</w:t>
      </w:r>
      <w:r>
        <w:rPr>
          <w:rFonts w:ascii="微软雅黑" w:eastAsia="微软雅黑" w:hAnsi="微软雅黑" w:cs="微软雅黑" w:hint="eastAsia"/>
          <w:lang w:eastAsia="zh-CN"/>
        </w:rPr>
        <w:t>多舱</w:t>
      </w:r>
      <w:r>
        <w:t>·</w:t>
      </w:r>
      <w:r>
        <w:rPr>
          <w:rFonts w:ascii="微软雅黑" w:eastAsia="微软雅黑" w:hAnsi="微软雅黑" w:cs="微软雅黑" w:hint="eastAsia"/>
          <w:lang w:eastAsia="zh-CN"/>
        </w:rPr>
        <w:t>全网</w:t>
      </w:r>
      <w:r>
        <w:t>·</w:t>
      </w:r>
      <w:r>
        <w:rPr>
          <w:rFonts w:ascii="微软雅黑" w:eastAsia="微软雅黑" w:hAnsi="微软雅黑" w:cs="微软雅黑" w:hint="eastAsia"/>
          <w:lang w:eastAsia="zh-CN"/>
        </w:rPr>
        <w:t>一平台」布局，选址严格符合绿心规划与正面清单。</w:t>
      </w:r>
    </w:p>
    <w:p>
      <w:pPr>
        <w:spacing w:after="180"/>
      </w:pPr>
      <w:r>
        <w:rPr>
          <w:rFonts w:ascii="微软雅黑" w:eastAsia="微软雅黑" w:hAnsi="微软雅黑" w:cs="微软雅黑" w:hint="eastAsia"/>
          <w:b/>
          <w:lang w:eastAsia="zh-CN"/>
        </w:rPr>
        <w:t>一核——长潭五句会客厅（核心地标）</w:t>
      </w:r>
      <w:r>
        <w:rPr>
          <w:rFonts w:ascii="微软雅黑" w:eastAsia="微软雅黑" w:hAnsi="微软雅黑" w:cs="微软雅黑" w:hint="eastAsia"/>
          <w:lang w:eastAsia="zh-CN"/>
        </w:rPr>
        <w:t>：位于昭山／三界碑，占地约</w:t>
      </w:r>
      <w:r>
        <w:t>20</w:t>
      </w:r>
      <w:r>
        <w:rPr>
          <w:rFonts w:ascii="微软雅黑" w:eastAsia="微软雅黑" w:hAnsi="微软雅黑" w:cs="微软雅黑" w:hint="eastAsia"/>
          <w:lang w:eastAsia="zh-CN"/>
        </w:rPr>
        <w:t>亩、建筑面积约</w:t>
      </w:r>
      <w:r>
        <w:t>1.5</w:t>
      </w:r>
      <w:r>
        <w:rPr>
          <w:rFonts w:ascii="微软雅黑" w:eastAsia="微软雅黑" w:hAnsi="微软雅黑" w:cs="微软雅黑" w:hint="eastAsia"/>
          <w:lang w:eastAsia="zh-CN"/>
        </w:rPr>
        <w:t>万平方米，集</w:t>
      </w:r>
      <w:r>
        <w:t>IP</w:t>
      </w:r>
      <w:r>
        <w:rPr>
          <w:rFonts w:ascii="微软雅黑" w:eastAsia="微软雅黑" w:hAnsi="微软雅黑" w:cs="微软雅黑" w:hint="eastAsia"/>
          <w:lang w:eastAsia="zh-CN"/>
        </w:rPr>
        <w:t>展示、国际论坛、政务接待、数字文明博物馆、</w:t>
      </w:r>
      <w:r>
        <w:t>AI</w:t>
      </w:r>
      <w:r>
        <w:rPr>
          <w:rFonts w:ascii="微软雅黑" w:eastAsia="微软雅黑" w:hAnsi="微软雅黑" w:cs="微软雅黑" w:hint="eastAsia"/>
          <w:lang w:eastAsia="zh-CN"/>
        </w:rPr>
        <w:t>伦理研究院、众创服务大厅于一体，低容积率、生态友好。</w:t>
      </w:r>
    </w:p>
    <w:p>
      <w:pPr>
        <w:spacing w:after="180"/>
      </w:pPr>
      <w:r>
        <w:rPr>
          <w:rFonts w:ascii="微软雅黑" w:eastAsia="微软雅黑" w:hAnsi="微软雅黑" w:cs="微软雅黑" w:hint="eastAsia"/>
          <w:b/>
          <w:lang w:eastAsia="zh-CN"/>
        </w:rPr>
        <w:t>一堂——红宇宙论道堂（精神高地）</w:t>
      </w:r>
      <w:r>
        <w:rPr>
          <w:rFonts w:ascii="微软雅黑" w:eastAsia="微软雅黑" w:hAnsi="微软雅黑" w:cs="微软雅黑" w:hint="eastAsia"/>
          <w:lang w:eastAsia="zh-CN"/>
        </w:rPr>
        <w:t>：依山而建、俯瞰绿心，圆形穹顶、可容</w:t>
      </w:r>
      <w:r>
        <w:t>1500</w:t>
      </w:r>
      <w:r>
        <w:rPr>
          <w:rFonts w:ascii="微软雅黑" w:eastAsia="微软雅黑" w:hAnsi="微软雅黑" w:cs="微软雅黑" w:hint="eastAsia"/>
          <w:lang w:eastAsia="zh-CN"/>
        </w:rPr>
        <w:t>人，承担思想峰会、</w:t>
      </w:r>
      <w:r>
        <w:t>AI</w:t>
      </w:r>
      <w:r>
        <w:rPr>
          <w:rFonts w:ascii="微软雅黑" w:eastAsia="微软雅黑" w:hAnsi="微软雅黑" w:cs="微软雅黑" w:hint="eastAsia"/>
          <w:lang w:eastAsia="zh-CN"/>
        </w:rPr>
        <w:t>伦理辩论、元宇宙治理论坛等功能。</w:t>
      </w:r>
    </w:p>
    <w:p>
      <w:pPr>
        <w:spacing w:after="180"/>
      </w:pPr>
      <w:r>
        <w:rPr>
          <w:rFonts w:ascii="微软雅黑" w:eastAsia="微软雅黑" w:hAnsi="微软雅黑" w:cs="微软雅黑" w:hint="eastAsia"/>
          <w:b/>
          <w:lang w:eastAsia="zh-CN"/>
        </w:rPr>
        <w:t>多舱——好来屋太空舱聚落（核心居住创业载体）</w:t>
      </w:r>
      <w:r>
        <w:rPr>
          <w:rFonts w:ascii="微软雅黑" w:eastAsia="微软雅黑" w:hAnsi="微软雅黑" w:cs="微软雅黑" w:hint="eastAsia"/>
          <w:lang w:eastAsia="zh-CN"/>
        </w:rPr>
        <w:t>：对标好莱坞之「坞」改「屋」，在绿心布局</w:t>
      </w:r>
      <w:r>
        <w:t>10—15</w:t>
      </w:r>
      <w:r>
        <w:rPr>
          <w:rFonts w:ascii="微软雅黑" w:eastAsia="微软雅黑" w:hAnsi="微软雅黑" w:cs="微软雅黑" w:hint="eastAsia"/>
          <w:lang w:eastAsia="zh-CN"/>
        </w:rPr>
        <w:t>个组团、</w:t>
      </w:r>
      <w:r>
        <w:t>200—300</w:t>
      </w:r>
      <w:r>
        <w:rPr>
          <w:rFonts w:ascii="微软雅黑" w:eastAsia="微软雅黑" w:hAnsi="微软雅黑" w:cs="微软雅黑" w:hint="eastAsia"/>
          <w:lang w:eastAsia="zh-CN"/>
        </w:rPr>
        <w:t>个太空舱（单舱</w:t>
      </w:r>
      <w:r>
        <w:t>30—40</w:t>
      </w:r>
      <w:r>
        <w:rPr>
          <w:rFonts w:ascii="微软雅黑" w:eastAsia="微软雅黑" w:hAnsi="微软雅黑" w:cs="微软雅黑" w:hint="eastAsia"/>
          <w:lang w:eastAsia="zh-CN"/>
        </w:rPr>
        <w:t>平方米，智能家居、高速光纤、拎包入住），面向全球数字游民、超级个体、</w:t>
      </w:r>
      <w:r>
        <w:t>OPC</w:t>
      </w:r>
      <w:r>
        <w:rPr>
          <w:rFonts w:ascii="微软雅黑" w:eastAsia="微软雅黑" w:hAnsi="微软雅黑" w:cs="微软雅黑" w:hint="eastAsia"/>
          <w:lang w:eastAsia="zh-CN"/>
        </w:rPr>
        <w:t>创始人。</w:t>
      </w:r>
    </w:p>
    <w:p>
      <w:pPr>
        <w:spacing w:after="180"/>
      </w:pPr>
      <w:r>
        <w:rPr>
          <w:rFonts w:ascii="微软雅黑" w:eastAsia="微软雅黑" w:hAnsi="微软雅黑" w:cs="微软雅黑" w:hint="eastAsia"/>
          <w:b/>
          <w:lang w:eastAsia="zh-CN"/>
        </w:rPr>
        <w:t>全网——分布式众创空间</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个主中心＋</w:t>
      </w:r>
      <w:r>
        <w:t>N</w:t>
      </w:r>
      <w:r>
        <w:rPr>
          <w:rFonts w:ascii="微软雅黑" w:eastAsia="微软雅黑" w:hAnsi="微软雅黑" w:cs="微软雅黑" w:hint="eastAsia"/>
          <w:lang w:eastAsia="zh-CN"/>
        </w:rPr>
        <w:t>个分布式节点＋全好来屋网络」，提供工商代办、财税法务、</w:t>
      </w:r>
      <w:r>
        <w:t>IP</w:t>
      </w:r>
      <w:r>
        <w:rPr>
          <w:rFonts w:ascii="微软雅黑" w:eastAsia="微软雅黑" w:hAnsi="微软雅黑" w:cs="微软雅黑" w:hint="eastAsia"/>
          <w:lang w:eastAsia="zh-CN"/>
        </w:rPr>
        <w:t>授权、算力支持、</w:t>
      </w:r>
      <w:r>
        <w:t>OPC</w:t>
      </w:r>
      <w:r>
        <w:rPr>
          <w:rFonts w:ascii="微软雅黑" w:eastAsia="微软雅黑" w:hAnsi="微软雅黑" w:cs="微软雅黑" w:hint="eastAsia"/>
          <w:lang w:eastAsia="zh-CN"/>
        </w:rPr>
        <w:t>注册绿色通道等一站式服务。</w:t>
      </w:r>
    </w:p>
    <w:p>
      <w:pPr>
        <w:spacing w:after="180"/>
      </w:pPr>
      <w:r>
        <w:rPr>
          <w:rFonts w:ascii="微软雅黑" w:eastAsia="微软雅黑" w:hAnsi="微软雅黑" w:cs="微软雅黑" w:hint="eastAsia"/>
          <w:b/>
          <w:lang w:eastAsia="zh-CN"/>
        </w:rPr>
        <w:t>一平台——天下点秀数字生态平台</w:t>
      </w:r>
      <w:r>
        <w:rPr>
          <w:rFonts w:ascii="微软雅黑" w:eastAsia="微软雅黑" w:hAnsi="微软雅黑" w:cs="微软雅黑" w:hint="eastAsia"/>
          <w:lang w:eastAsia="zh-CN"/>
        </w:rPr>
        <w:t>：项目方全资持有天下点秀顶级双拼域名与全类核心商标，面向全球超级个体、红人、创作者提供专属二级域名与全网自媒体内容聚合服务，形成「一人一站、一站聚合全网」的个人官方入口。</w:t>
      </w:r>
    </w:p>
    <w:p>
      <w:pPr>
        <w:pStyle w:val="Heading3"/>
        <w:spacing w:before="200" w:after="150"/>
      </w:pPr>
      <w:r>
        <w:rPr>
          <w:rFonts w:ascii="微软雅黑" w:hAnsi="微软雅黑" w:eastAsia="微软雅黑" w:cs="微软雅黑" w:hint="eastAsia"/>
          <w:b/>
          <w:color w:val="1565C0"/>
          <w:sz w:val="20"/>
          <w:lang w:eastAsia="zh-CN"/>
        </w:rPr>
        <w:t>（二）核心设施</w:t>
      </w:r>
    </w:p>
    <w:p>
      <w:pPr>
        <w:spacing w:after="180"/>
      </w:pPr>
      <w:r>
        <w:rPr>
          <w:rFonts w:ascii="微软雅黑" w:eastAsia="微软雅黑" w:hAnsi="微软雅黑" w:cs="微软雅黑" w:hint="eastAsia"/>
          <w:lang w:eastAsia="zh-CN"/>
        </w:rPr>
        <w:t>公共核心区含数字文明博物馆（</w:t>
      </w:r>
      <w:r>
        <w:t>3000</w:t>
      </w:r>
      <w:r>
        <w:rPr>
          <w:rFonts w:ascii="微软雅黑" w:eastAsia="微软雅黑" w:hAnsi="微软雅黑" w:cs="微软雅黑" w:hint="eastAsia"/>
          <w:lang w:eastAsia="zh-CN"/>
        </w:rPr>
        <w:t>平方米）、</w:t>
      </w:r>
      <w:r>
        <w:t>AI</w:t>
      </w:r>
      <w:r>
        <w:rPr>
          <w:rFonts w:ascii="微软雅黑" w:eastAsia="微软雅黑" w:hAnsi="微软雅黑" w:cs="微软雅黑" w:hint="eastAsia"/>
          <w:lang w:eastAsia="zh-CN"/>
        </w:rPr>
        <w:t>伦理研究院（</w:t>
      </w:r>
      <w:r>
        <w:t>2000</w:t>
      </w:r>
      <w:r>
        <w:rPr>
          <w:rFonts w:ascii="微软雅黑" w:eastAsia="微软雅黑" w:hAnsi="微软雅黑" w:cs="微软雅黑" w:hint="eastAsia"/>
          <w:lang w:eastAsia="zh-CN"/>
        </w:rPr>
        <w:t>平方米）、国际会议中心（</w:t>
      </w:r>
      <w:r>
        <w:t>2000</w:t>
      </w:r>
      <w:r>
        <w:rPr>
          <w:rFonts w:ascii="微软雅黑" w:eastAsia="微软雅黑" w:hAnsi="微软雅黑" w:cs="微软雅黑" w:hint="eastAsia"/>
          <w:lang w:eastAsia="zh-CN"/>
        </w:rPr>
        <w:t>平方米）、</w:t>
      </w:r>
      <w:r>
        <w:t>IP</w:t>
      </w:r>
      <w:r>
        <w:rPr>
          <w:rFonts w:ascii="微软雅黑" w:eastAsia="微软雅黑" w:hAnsi="微软雅黑" w:cs="微软雅黑" w:hint="eastAsia"/>
          <w:lang w:eastAsia="zh-CN"/>
        </w:rPr>
        <w:t>展示与发布中心（</w:t>
      </w:r>
      <w:r>
        <w:t>2000</w:t>
      </w:r>
      <w:r>
        <w:rPr>
          <w:rFonts w:ascii="微软雅黑" w:eastAsia="微软雅黑" w:hAnsi="微软雅黑" w:cs="微软雅黑" w:hint="eastAsia"/>
          <w:lang w:eastAsia="zh-CN"/>
        </w:rPr>
        <w:t>平方米）、众创服务大厅（</w:t>
      </w:r>
      <w:r>
        <w:t>1500</w:t>
      </w:r>
      <w:r>
        <w:rPr>
          <w:rFonts w:ascii="微软雅黑" w:eastAsia="微软雅黑" w:hAnsi="微软雅黑" w:cs="微软雅黑" w:hint="eastAsia"/>
          <w:lang w:eastAsia="zh-CN"/>
        </w:rPr>
        <w:t>平方米）等；天下点秀平台配套平台运营中心（</w:t>
      </w:r>
      <w:r>
        <w:t>500</w:t>
      </w:r>
      <w:r>
        <w:rPr>
          <w:rFonts w:ascii="微软雅黑" w:eastAsia="微软雅黑" w:hAnsi="微软雅黑" w:cs="微软雅黑" w:hint="eastAsia"/>
          <w:lang w:eastAsia="zh-CN"/>
        </w:rPr>
        <w:t>平方米）、红人孵化直播间</w:t>
      </w:r>
      <w:r>
        <w:t>10</w:t>
      </w:r>
      <w:r>
        <w:rPr>
          <w:rFonts w:ascii="微软雅黑" w:eastAsia="微软雅黑" w:hAnsi="微软雅黑" w:cs="微软雅黑" w:hint="eastAsia"/>
          <w:lang w:eastAsia="zh-CN"/>
        </w:rPr>
        <w:t>间、域名服务中心与数据机房；全域配套</w:t>
      </w:r>
      <w:r>
        <w:t>5G</w:t>
      </w:r>
      <w:r>
        <w:rPr>
          <w:rFonts w:ascii="微软雅黑" w:eastAsia="微软雅黑" w:hAnsi="微软雅黑" w:cs="微软雅黑" w:hint="eastAsia"/>
          <w:lang w:eastAsia="zh-CN"/>
        </w:rPr>
        <w:t>与万兆光纤、</w:t>
      </w:r>
      <w:r>
        <w:t>10</w:t>
      </w:r>
      <w:r>
        <w:rPr>
          <w:rFonts w:ascii="微软雅黑" w:eastAsia="微软雅黑" w:hAnsi="微软雅黑" w:cs="微软雅黑" w:hint="eastAsia"/>
          <w:lang w:eastAsia="zh-CN"/>
        </w:rPr>
        <w:t>公里生态绿道、电瓶车环线、分布式光伏与零碳示范设施。</w:t>
      </w:r>
    </w:p>
    <w:p>
      <w:pPr>
        <w:pStyle w:val="Heading3"/>
        <w:spacing w:before="200" w:after="150"/>
      </w:pPr>
      <w:r>
        <w:rPr>
          <w:rFonts w:ascii="微软雅黑" w:hAnsi="微软雅黑" w:eastAsia="微软雅黑" w:cs="微软雅黑" w:hint="eastAsia"/>
          <w:b/>
          <w:color w:val="1565C0"/>
          <w:sz w:val="20"/>
          <w:lang w:eastAsia="zh-CN"/>
        </w:rPr>
        <w:t>（三）开发节奏</w:t>
      </w:r>
    </w:p>
    <w:p>
      <w:pPr>
        <w:spacing w:after="180"/>
      </w:pPr>
      <w:r>
        <w:rPr>
          <w:rFonts w:ascii="微软雅黑" w:eastAsia="微软雅黑" w:hAnsi="微软雅黑" w:cs="微软雅黑" w:hint="eastAsia"/>
          <w:lang w:eastAsia="zh-CN"/>
        </w:rPr>
        <w:t>第</w:t>
      </w:r>
      <w:r>
        <w:t>1</w:t>
      </w:r>
      <w:r>
        <w:rPr>
          <w:rFonts w:ascii="微软雅黑" w:eastAsia="微软雅黑" w:hAnsi="微软雅黑" w:cs="微软雅黑" w:hint="eastAsia"/>
          <w:lang w:eastAsia="zh-CN"/>
        </w:rPr>
        <w:t>年（启动期）：完成</w:t>
      </w:r>
      <w:r>
        <w:t>IP</w:t>
      </w:r>
      <w:r>
        <w:rPr>
          <w:rFonts w:ascii="微软雅黑" w:eastAsia="微软雅黑" w:hAnsi="微软雅黑" w:cs="微软雅黑" w:hint="eastAsia"/>
          <w:lang w:eastAsia="zh-CN"/>
        </w:rPr>
        <w:t>注册、规划审批、用地预审、环评能评，开工会客厅与论道堂基础，建成示范舱</w:t>
      </w:r>
      <w:r>
        <w:t>10</w:t>
      </w:r>
      <w:r>
        <w:rPr>
          <w:rFonts w:ascii="微软雅黑" w:eastAsia="微软雅黑" w:hAnsi="微软雅黑" w:cs="微软雅黑" w:hint="eastAsia"/>
          <w:lang w:eastAsia="zh-CN"/>
        </w:rPr>
        <w:t>个、绿道示范段</w:t>
      </w:r>
      <w:r>
        <w:t>2</w:t>
      </w:r>
      <w:r>
        <w:rPr>
          <w:rFonts w:ascii="微软雅黑" w:eastAsia="微软雅黑" w:hAnsi="微软雅黑" w:cs="微软雅黑" w:hint="eastAsia"/>
          <w:lang w:eastAsia="zh-CN"/>
        </w:rPr>
        <w:t>公里，</w:t>
      </w:r>
      <w:r>
        <w:t>IP</w:t>
      </w:r>
      <w:r>
        <w:rPr>
          <w:rFonts w:ascii="微软雅黑" w:eastAsia="微软雅黑" w:hAnsi="微软雅黑" w:cs="微软雅黑" w:hint="eastAsia"/>
          <w:lang w:eastAsia="zh-CN"/>
        </w:rPr>
        <w:t>发布、首批数字游民入驻。第</w:t>
      </w:r>
      <w:r>
        <w:t>2</w:t>
      </w:r>
      <w:r>
        <w:rPr>
          <w:rFonts w:ascii="微软雅黑" w:eastAsia="微软雅黑" w:hAnsi="微软雅黑" w:cs="微软雅黑" w:hint="eastAsia"/>
          <w:lang w:eastAsia="zh-CN"/>
        </w:rPr>
        <w:t>年（建设期）：会客厅竣工、论道堂封顶，交付太空舱</w:t>
      </w:r>
      <w:r>
        <w:t>200</w:t>
      </w:r>
      <w:r>
        <w:rPr>
          <w:rFonts w:ascii="微软雅黑" w:eastAsia="微软雅黑" w:hAnsi="微软雅黑" w:cs="微软雅黑" w:hint="eastAsia"/>
          <w:lang w:eastAsia="zh-CN"/>
        </w:rPr>
        <w:t>个，</w:t>
      </w:r>
      <w:r>
        <w:t>500</w:t>
      </w:r>
      <w:r>
        <w:rPr>
          <w:rFonts w:ascii="微软雅黑" w:eastAsia="微软雅黑" w:hAnsi="微软雅黑" w:cs="微软雅黑" w:hint="eastAsia"/>
          <w:lang w:eastAsia="zh-CN"/>
        </w:rPr>
        <w:t>名以上数字游民入住、</w:t>
      </w:r>
      <w:r>
        <w:t>100</w:t>
      </w:r>
      <w:r>
        <w:rPr>
          <w:rFonts w:ascii="微软雅黑" w:eastAsia="微软雅黑" w:hAnsi="微软雅黑" w:cs="微软雅黑" w:hint="eastAsia"/>
          <w:lang w:eastAsia="zh-CN"/>
        </w:rPr>
        <w:t>家以上</w:t>
      </w:r>
      <w:r>
        <w:t>OPC</w:t>
      </w:r>
      <w:r>
        <w:rPr>
          <w:rFonts w:ascii="微软雅黑" w:eastAsia="微软雅黑" w:hAnsi="微软雅黑" w:cs="微软雅黑" w:hint="eastAsia"/>
          <w:lang w:eastAsia="zh-CN"/>
        </w:rPr>
        <w:t>公司注册。第</w:t>
      </w:r>
      <w:r>
        <w:t>3</w:t>
      </w:r>
      <w:r>
        <w:rPr>
          <w:rFonts w:ascii="微软雅黑" w:eastAsia="微软雅黑" w:hAnsi="微软雅黑" w:cs="微软雅黑" w:hint="eastAsia"/>
          <w:lang w:eastAsia="zh-CN"/>
        </w:rPr>
        <w:t>年（成熟期）：全面建成，举办首届全球数字文明峰会，</w:t>
      </w:r>
      <w:r>
        <w:t>1000</w:t>
      </w:r>
      <w:r>
        <w:rPr>
          <w:rFonts w:ascii="微软雅黑" w:eastAsia="微软雅黑" w:hAnsi="微软雅黑" w:cs="微软雅黑" w:hint="eastAsia"/>
          <w:lang w:eastAsia="zh-CN"/>
        </w:rPr>
        <w:t>名以上数字游民常住、</w:t>
      </w:r>
      <w:r>
        <w:t>300</w:t>
      </w:r>
      <w:r>
        <w:rPr>
          <w:rFonts w:ascii="微软雅黑" w:eastAsia="微软雅黑" w:hAnsi="微软雅黑" w:cs="微软雅黑" w:hint="eastAsia"/>
          <w:lang w:eastAsia="zh-CN"/>
        </w:rPr>
        <w:t>家以上</w:t>
      </w:r>
      <w:r>
        <w:t>OPC</w:t>
      </w:r>
      <w:r>
        <w:rPr>
          <w:rFonts w:ascii="微软雅黑" w:eastAsia="微软雅黑" w:hAnsi="微软雅黑" w:cs="微软雅黑" w:hint="eastAsia"/>
          <w:lang w:eastAsia="zh-CN"/>
        </w:rPr>
        <w:t>公司落地。第</w:t>
      </w:r>
      <w:r>
        <w:t>4—5</w:t>
      </w:r>
      <w:r>
        <w:rPr>
          <w:rFonts w:ascii="微软雅黑" w:eastAsia="微软雅黑" w:hAnsi="微软雅黑" w:cs="微软雅黑" w:hint="eastAsia"/>
          <w:lang w:eastAsia="zh-CN"/>
        </w:rPr>
        <w:t>年（提升期）：申报国家级示范区，输出「长潭模式」，品牌与平台规模化运营。</w:t>
      </w:r>
    </w:p>
    <w:p>
      <w:bookmarkStart w:id="13" w:name="_Toc_s4"/>
      <w:bookmarkStart w:id="4" w:name="s4"/>
      <w:pPr>
        <w:pStyle w:val="Heading2"/>
        <w:spacing w:before="520" w:after="195"/>
      </w:pPr>
      <w:bookmarkEnd w:id="4"/>
      <w:r>
        <w:rPr>
          <w:rFonts w:ascii="微软雅黑" w:hAnsi="微软雅黑" w:eastAsia="微软雅黑" w:cs="微软雅黑" w:hint="eastAsia"/>
          <w:b/>
          <w:color w:val="1A237E"/>
          <w:sz w:val="26"/>
          <w:lang w:eastAsia="zh-CN"/>
        </w:rPr>
        <w:t>四、投资估算与资金来源</w:t>
      </w:r>
      <w:bookmarkEnd w:id="13"/>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90" w:type="dxa"/>
              <w:bottom w:w="90" w:type="dxa"/>
              <w:left w:w="150" w:type="dxa"/>
              <w:right w:w="150" w:type="dxa"/>
            </w:tcMar>
          </w:tcPr>
          <w:p>
            <w:pPr>
              <w:jc w:val="left"/>
              <w:spacing w:line="240" w:lineRule="auto" w:before="45" w:after="45"/>
            </w:pPr>
            <w:r>
              <w:rPr>
                <w:rFonts w:ascii="微软雅黑" w:hAnsi="微软雅黑" w:eastAsia="微软雅黑" w:hint="eastAsia"/>
                <w:b/>
                <w:sz w:val="18"/>
              </w:rPr>
              <w:t>分项</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90" w:type="dxa"/>
              <w:bottom w:w="90" w:type="dxa"/>
              <w:left w:w="150" w:type="dxa"/>
              <w:right w:w="150" w:type="dxa"/>
            </w:tcMar>
          </w:tcPr>
          <w:p>
            <w:pPr>
              <w:jc w:val="left"/>
              <w:spacing w:line="240" w:lineRule="auto" w:before="45" w:after="45"/>
            </w:pPr>
            <w:r>
              <w:rPr>
                <w:rFonts w:ascii="微软雅黑" w:hAnsi="微软雅黑" w:eastAsia="微软雅黑" w:hint="eastAsia"/>
                <w:b/>
                <w:sz w:val="18"/>
              </w:rPr>
              <w:t>金额（亿元）</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90" w:type="dxa"/>
              <w:bottom w:w="90" w:type="dxa"/>
              <w:left w:w="150" w:type="dxa"/>
              <w:right w:w="150" w:type="dxa"/>
            </w:tcMar>
          </w:tcPr>
          <w:p>
            <w:pPr>
              <w:jc w:val="left"/>
              <w:spacing w:line="240" w:lineRule="auto" w:before="45" w:after="45"/>
            </w:pPr>
            <w:r>
              <w:rPr>
                <w:rFonts w:ascii="微软雅黑" w:hAnsi="微软雅黑" w:eastAsia="微软雅黑" w:hint="eastAsia"/>
                <w:b/>
                <w:sz w:val="18"/>
              </w:rPr>
              <w:t>主要内容</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公共核心区（会客厅＋论道堂）</w:t>
            </w:r>
          </w:p>
        </w:tc>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5.2</w:t>
            </w:r>
          </w:p>
        </w:tc>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会客厅</w:t>
            </w:r>
            <w:r>
              <w:rPr>
                <w:sz w:val="18"/>
              </w:rPr>
              <w:t xml:space="preserve"> </w:t>
            </w:r>
            <w:r>
              <w:rPr>
                <w:sz w:val="18"/>
              </w:rPr>
              <w:t>3.5</w:t>
            </w:r>
            <w:r>
              <w:rPr>
                <w:sz w:val="18"/>
              </w:rPr>
              <w:t xml:space="preserve"> </w:t>
            </w:r>
            <w:r>
              <w:rPr>
                <w:sz w:val="18"/>
              </w:rPr>
              <w:t>、论道堂</w:t>
            </w:r>
            <w:r>
              <w:rPr>
                <w:sz w:val="18"/>
              </w:rPr>
              <w:t xml:space="preserve"> </w:t>
            </w:r>
            <w:r>
              <w:rPr>
                <w:sz w:val="18"/>
              </w:rPr>
              <w:t>1.7</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好来屋太空舱聚落</w:t>
            </w:r>
          </w:p>
        </w:tc>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4.8</w:t>
            </w:r>
          </w:p>
        </w:tc>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舱体</w:t>
            </w:r>
            <w:r>
              <w:rPr>
                <w:sz w:val="18"/>
              </w:rPr>
              <w:t xml:space="preserve"> </w:t>
            </w:r>
            <w:r>
              <w:rPr>
                <w:sz w:val="18"/>
              </w:rPr>
              <w:t>3.0</w:t>
            </w:r>
            <w:r>
              <w:rPr>
                <w:sz w:val="18"/>
              </w:rPr>
              <w:t xml:space="preserve"> </w:t>
            </w:r>
            <w:r>
              <w:rPr>
                <w:sz w:val="18"/>
              </w:rPr>
              <w:t>、组团共享</w:t>
            </w:r>
            <w:r>
              <w:rPr>
                <w:sz w:val="18"/>
              </w:rPr>
              <w:t xml:space="preserve"> </w:t>
            </w:r>
            <w:r>
              <w:rPr>
                <w:sz w:val="18"/>
              </w:rPr>
              <w:t>1.2</w:t>
            </w:r>
            <w:r>
              <w:rPr>
                <w:sz w:val="18"/>
              </w:rPr>
              <w:t xml:space="preserve"> </w:t>
            </w:r>
            <w:r>
              <w:rPr>
                <w:sz w:val="18"/>
              </w:rPr>
              <w:t>、舱区基建</w:t>
            </w:r>
            <w:r>
              <w:rPr>
                <w:sz w:val="18"/>
              </w:rPr>
              <w:t xml:space="preserve"> </w:t>
            </w:r>
            <w:r>
              <w:rPr>
                <w:sz w:val="18"/>
              </w:rPr>
              <w:t>0.6</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全域基础设施</w:t>
            </w:r>
          </w:p>
        </w:tc>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2.0</w:t>
            </w:r>
          </w:p>
        </w:tc>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智慧网络</w:t>
            </w:r>
            <w:r>
              <w:rPr>
                <w:sz w:val="18"/>
              </w:rPr>
              <w:t xml:space="preserve"> </w:t>
            </w:r>
            <w:r>
              <w:rPr>
                <w:sz w:val="18"/>
              </w:rPr>
              <w:t>0.8</w:t>
            </w:r>
            <w:r>
              <w:rPr>
                <w:sz w:val="18"/>
              </w:rPr>
              <w:t xml:space="preserve"> </w:t>
            </w:r>
            <w:r>
              <w:rPr>
                <w:sz w:val="18"/>
              </w:rPr>
              <w:t>、绿道</w:t>
            </w:r>
            <w:r>
              <w:rPr>
                <w:sz w:val="18"/>
              </w:rPr>
              <w:t xml:space="preserve"> </w:t>
            </w:r>
            <w:r>
              <w:rPr>
                <w:sz w:val="18"/>
              </w:rPr>
              <w:t>0.5</w:t>
            </w:r>
            <w:r>
              <w:rPr>
                <w:sz w:val="18"/>
              </w:rPr>
              <w:t xml:space="preserve"> </w:t>
            </w:r>
            <w:r>
              <w:rPr>
                <w:sz w:val="18"/>
              </w:rPr>
              <w:t>、交通</w:t>
            </w:r>
            <w:r>
              <w:rPr>
                <w:sz w:val="18"/>
              </w:rPr>
              <w:t xml:space="preserve"> </w:t>
            </w:r>
            <w:r>
              <w:rPr>
                <w:sz w:val="18"/>
              </w:rPr>
              <w:t>0.4</w:t>
            </w:r>
            <w:r>
              <w:rPr>
                <w:sz w:val="18"/>
              </w:rPr>
              <w:t xml:space="preserve"> </w:t>
            </w:r>
            <w:r>
              <w:rPr>
                <w:sz w:val="18"/>
              </w:rPr>
              <w:t>、能源环保</w:t>
            </w:r>
            <w:r>
              <w:rPr>
                <w:sz w:val="18"/>
              </w:rPr>
              <w:t xml:space="preserve"> </w:t>
            </w:r>
            <w:r>
              <w:rPr>
                <w:sz w:val="18"/>
              </w:rPr>
              <w:t>0.3</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天下点秀数字平台</w:t>
            </w:r>
          </w:p>
        </w:tc>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0.2</w:t>
            </w:r>
          </w:p>
        </w:tc>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平台开发</w:t>
            </w:r>
            <w:r>
              <w:rPr>
                <w:sz w:val="18"/>
              </w:rPr>
              <w:t xml:space="preserve"> </w:t>
            </w:r>
            <w:r>
              <w:rPr>
                <w:sz w:val="18"/>
              </w:rPr>
              <w:t>0.1</w:t>
            </w:r>
            <w:r>
              <w:rPr>
                <w:sz w:val="18"/>
              </w:rPr>
              <w:t xml:space="preserve"> </w:t>
            </w:r>
            <w:r>
              <w:rPr>
                <w:sz w:val="18"/>
              </w:rPr>
              <w:t>、直播间与机房</w:t>
            </w:r>
            <w:r>
              <w:rPr>
                <w:sz w:val="18"/>
              </w:rPr>
              <w:t xml:space="preserve"> </w:t>
            </w:r>
            <w:r>
              <w:rPr>
                <w:sz w:val="18"/>
              </w:rPr>
              <w:t>0.05</w:t>
            </w:r>
            <w:r>
              <w:rPr>
                <w:sz w:val="18"/>
              </w:rPr>
              <w:t xml:space="preserve"> </w:t>
            </w:r>
            <w:r>
              <w:rPr>
                <w:sz w:val="18"/>
              </w:rPr>
              <w:t>、推广</w:t>
            </w:r>
            <w:r>
              <w:rPr>
                <w:sz w:val="18"/>
              </w:rPr>
              <w:t xml:space="preserve"> </w:t>
            </w:r>
            <w:r>
              <w:rPr>
                <w:sz w:val="18"/>
              </w:rPr>
              <w:t>0.05</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前期与运营预备</w:t>
            </w:r>
          </w:p>
        </w:tc>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0.8</w:t>
            </w:r>
          </w:p>
        </w:tc>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规划审批</w:t>
            </w:r>
            <w:r>
              <w:rPr>
                <w:sz w:val="18"/>
              </w:rPr>
              <w:t xml:space="preserve"> </w:t>
            </w:r>
            <w:r>
              <w:rPr>
                <w:sz w:val="18"/>
              </w:rPr>
              <w:t>0.3</w:t>
            </w:r>
            <w:r>
              <w:rPr>
                <w:sz w:val="18"/>
              </w:rPr>
              <w:t xml:space="preserve"> </w:t>
            </w:r>
            <w:r>
              <w:rPr>
                <w:sz w:val="18"/>
              </w:rPr>
              <w:t>、品牌推广</w:t>
            </w:r>
            <w:r>
              <w:rPr>
                <w:sz w:val="18"/>
              </w:rPr>
              <w:t xml:space="preserve"> </w:t>
            </w:r>
            <w:r>
              <w:rPr>
                <w:sz w:val="18"/>
              </w:rPr>
              <w:t>0.3</w:t>
            </w:r>
            <w:r>
              <w:rPr>
                <w:sz w:val="18"/>
              </w:rPr>
              <w:t xml:space="preserve"> </w:t>
            </w:r>
            <w:r>
              <w:rPr>
                <w:sz w:val="18"/>
              </w:rPr>
              <w:t>、预备金</w:t>
            </w:r>
            <w:r>
              <w:rPr>
                <w:sz w:val="18"/>
              </w:rPr>
              <w:t xml:space="preserve"> </w:t>
            </w:r>
            <w:r>
              <w:rPr>
                <w:sz w:val="18"/>
              </w:rPr>
              <w:t>0.2</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b/>
                <w:sz w:val="18"/>
              </w:rPr>
              <w:t>合计</w:t>
            </w:r>
          </w:p>
        </w:tc>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b/>
                <w:sz w:val="18"/>
              </w:rPr>
              <w:t>13.0</w:t>
            </w:r>
          </w:p>
        </w:tc>
        <w:tc>
          <w:tcPr>
            <w:tcW w:type="dxa" w:w="2880"/>
            <w:vAlign w:val="center"/>
            <w:tcBorders>
              <w:top w:val="single" w:sz="6" w:space="0" w:color="E0E0E0"/>
              <w:bottom w:val="single" w:sz="6" w:space="0" w:color="E0E0E0"/>
              <w:left w:val="single" w:sz="6" w:space="0" w:color="E0E0E0"/>
              <w:right w:val="single" w:sz="6" w:space="0" w:color="E0E0E0"/>
            </w:tcBorders>
            <w:tcMar>
              <w:top w:w="90" w:type="dxa"/>
              <w:bottom w:w="90" w:type="dxa"/>
              <w:left w:w="150" w:type="dxa"/>
              <w:right w:w="150" w:type="dxa"/>
            </w:tcMar>
          </w:tcPr>
          <w:p>
            <w:pPr>
              <w:jc w:val="left"/>
              <w:spacing w:line="240" w:lineRule="auto" w:before="45" w:after="45"/>
            </w:pPr>
            <w:r>
              <w:rPr>
                <w:sz w:val="18"/>
              </w:rPr>
              <w:t>—</w:t>
            </w:r>
          </w:p>
        </w:tc>
      </w:tr>
    </w:tbl>
    <w:p>
      <w:pPr>
        <w:spacing w:after="180"/>
      </w:pPr>
      <w:r>
        <w:rPr>
          <w:rFonts w:ascii="微软雅黑" w:eastAsia="微软雅黑" w:hAnsi="微软雅黑" w:cs="微软雅黑" w:hint="eastAsia"/>
          <w:lang w:eastAsia="zh-CN"/>
        </w:rPr>
        <w:t>资金来源：政府专项资金（绿心、文化、科技、</w:t>
      </w:r>
      <w:r>
        <w:t>OPC</w:t>
      </w:r>
      <w:r>
        <w:rPr>
          <w:rFonts w:ascii="微软雅黑" w:eastAsia="微软雅黑" w:hAnsi="微软雅黑" w:cs="微软雅黑" w:hint="eastAsia"/>
          <w:lang w:eastAsia="zh-CN"/>
        </w:rPr>
        <w:t>方向）约</w:t>
      </w:r>
      <w:r>
        <w:t>3.0</w:t>
      </w:r>
      <w:r>
        <w:rPr>
          <w:rFonts w:ascii="微软雅黑" w:eastAsia="微软雅黑" w:hAnsi="微软雅黑" w:cs="微软雅黑" w:hint="eastAsia"/>
          <w:lang w:eastAsia="zh-CN"/>
        </w:rPr>
        <w:t>亿元、占</w:t>
      </w:r>
      <w:r>
        <w:t>23%</w:t>
      </w:r>
      <w:r>
        <w:rPr>
          <w:rFonts w:ascii="微软雅黑" w:eastAsia="微软雅黑" w:hAnsi="微软雅黑" w:cs="微软雅黑" w:hint="eastAsia"/>
          <w:lang w:eastAsia="zh-CN"/>
        </w:rPr>
        <w:t>；社会资本约</w:t>
      </w:r>
      <w:r>
        <w:t>6.2</w:t>
      </w:r>
      <w:r>
        <w:rPr>
          <w:rFonts w:ascii="微软雅黑" w:eastAsia="微软雅黑" w:hAnsi="微软雅黑" w:cs="微软雅黑" w:hint="eastAsia"/>
          <w:lang w:eastAsia="zh-CN"/>
        </w:rPr>
        <w:t>亿元、占</w:t>
      </w:r>
      <w:r>
        <w:t>47.7%</w:t>
      </w:r>
      <w:r>
        <w:rPr>
          <w:rFonts w:ascii="微软雅黑" w:eastAsia="微软雅黑" w:hAnsi="微软雅黑" w:cs="微软雅黑" w:hint="eastAsia"/>
          <w:lang w:eastAsia="zh-CN"/>
        </w:rPr>
        <w:t>；银行绿色信贷与科创贷款约</w:t>
      </w:r>
      <w:r>
        <w:t>3.0</w:t>
      </w:r>
      <w:r>
        <w:rPr>
          <w:rFonts w:ascii="微软雅黑" w:eastAsia="微软雅黑" w:hAnsi="微软雅黑" w:cs="微软雅黑" w:hint="eastAsia"/>
          <w:lang w:eastAsia="zh-CN"/>
        </w:rPr>
        <w:t>亿元、占</w:t>
      </w:r>
      <w:r>
        <w:t>23%</w:t>
      </w:r>
      <w:r>
        <w:rPr>
          <w:rFonts w:ascii="微软雅黑" w:eastAsia="微软雅黑" w:hAnsi="微软雅黑" w:cs="微软雅黑" w:hint="eastAsia"/>
          <w:lang w:eastAsia="zh-CN"/>
        </w:rPr>
        <w:t>；运营方自筹约</w:t>
      </w:r>
      <w:r>
        <w:t>0.8</w:t>
      </w:r>
      <w:r>
        <w:rPr>
          <w:rFonts w:ascii="微软雅黑" w:eastAsia="微软雅黑" w:hAnsi="微软雅黑" w:cs="微软雅黑" w:hint="eastAsia"/>
          <w:lang w:eastAsia="zh-CN"/>
        </w:rPr>
        <w:t>亿元、占</w:t>
      </w:r>
      <w:r>
        <w:t>6.3%</w:t>
      </w:r>
      <w:r>
        <w:rPr>
          <w:rFonts w:ascii="微软雅黑" w:eastAsia="微软雅黑" w:hAnsi="微软雅黑" w:cs="微软雅黑" w:hint="eastAsia"/>
          <w:lang w:eastAsia="zh-CN"/>
        </w:rPr>
        <w:t>。政府以少量专项资金撬动社会资本为主的建设格局，轻资产、分期滚动开发，财政压力可控。</w:t>
      </w:r>
    </w:p>
    <w:p>
      <w:bookmarkStart w:id="14" w:name="_Toc_s5"/>
      <w:bookmarkStart w:id="5" w:name="s5"/>
      <w:pPr>
        <w:pStyle w:val="Heading2"/>
        <w:spacing w:before="520" w:after="195"/>
      </w:pPr>
      <w:bookmarkEnd w:id="5"/>
      <w:r>
        <w:rPr>
          <w:rFonts w:ascii="微软雅黑" w:hAnsi="微软雅黑" w:eastAsia="微软雅黑" w:cs="微软雅黑" w:hint="eastAsia"/>
          <w:b/>
          <w:color w:val="1A237E"/>
          <w:sz w:val="26"/>
          <w:lang w:eastAsia="zh-CN"/>
        </w:rPr>
        <w:t>五、运营模式与效益分析</w:t>
      </w:r>
      <w:bookmarkEnd w:id="14"/>
    </w:p>
    <w:p>
      <w:pPr>
        <w:spacing w:after="180"/>
      </w:pPr>
      <w:r>
        <w:rPr>
          <w:rFonts w:ascii="微软雅黑" w:eastAsia="微软雅黑" w:hAnsi="微软雅黑" w:cs="微软雅黑" w:hint="eastAsia"/>
          <w:lang w:eastAsia="zh-CN"/>
        </w:rPr>
        <w:t>项目采取「重</w:t>
      </w:r>
      <w:r>
        <w:t>IP</w:t>
      </w:r>
      <w:r>
        <w:rPr>
          <w:rFonts w:ascii="微软雅黑" w:eastAsia="微软雅黑" w:hAnsi="微软雅黑" w:cs="微软雅黑" w:hint="eastAsia"/>
          <w:lang w:eastAsia="zh-CN"/>
        </w:rPr>
        <w:t>＋轻资产」运营模式，现金流、</w:t>
      </w:r>
      <w:r>
        <w:t>IP</w:t>
      </w:r>
      <w:r>
        <w:rPr>
          <w:rFonts w:ascii="微软雅黑" w:eastAsia="微软雅黑" w:hAnsi="微软雅黑" w:cs="微软雅黑" w:hint="eastAsia"/>
          <w:lang w:eastAsia="zh-CN"/>
        </w:rPr>
        <w:t>变现与平台收入多元互补，经济与社会效益兼具。</w:t>
      </w:r>
    </w:p>
    <w:p>
      <w:pPr>
        <w:pStyle w:val="Heading3"/>
        <w:spacing w:before="200" w:after="150"/>
      </w:pPr>
      <w:r>
        <w:rPr>
          <w:rFonts w:ascii="微软雅黑" w:hAnsi="微软雅黑" w:eastAsia="微软雅黑" w:cs="微软雅黑" w:hint="eastAsia"/>
          <w:b/>
          <w:color w:val="1565C0"/>
          <w:sz w:val="20"/>
          <w:lang w:eastAsia="zh-CN"/>
        </w:rPr>
        <w:t>（一）盈利模式</w:t>
      </w:r>
    </w:p>
    <w:p>
      <w:pPr>
        <w:spacing w:after="180"/>
      </w:pPr>
      <w:r>
        <w:rPr>
          <w:rFonts w:ascii="微软雅黑" w:eastAsia="微软雅黑" w:hAnsi="微软雅黑" w:cs="微软雅黑" w:hint="eastAsia"/>
          <w:lang w:eastAsia="zh-CN"/>
        </w:rPr>
        <w:t>成熟期预计年营收约</w:t>
      </w:r>
      <w:r>
        <w:rPr>
          <w:rFonts w:ascii="微软雅黑" w:eastAsia="微软雅黑" w:hAnsi="微软雅黑" w:cs="微软雅黑" w:hint="eastAsia"/>
          <w:b/>
          <w:color w:val="000000"/>
          <w:lang w:eastAsia="zh-CN"/>
        </w:rPr>
        <w:t>6.8亿元</w:t>
      </w:r>
      <w:r>
        <w:rPr>
          <w:rFonts w:ascii="微软雅黑" w:eastAsia="微软雅黑" w:hAnsi="微软雅黑" w:cs="微软雅黑" w:hint="eastAsia"/>
          <w:lang w:eastAsia="zh-CN"/>
        </w:rPr>
        <w:t>：好来屋舱位租金</w:t>
      </w:r>
      <w:r>
        <w:t>2.4</w:t>
      </w:r>
      <w:r>
        <w:rPr>
          <w:rFonts w:ascii="微软雅黑" w:eastAsia="微软雅黑" w:hAnsi="微软雅黑" w:cs="微软雅黑" w:hint="eastAsia"/>
          <w:lang w:eastAsia="zh-CN"/>
        </w:rPr>
        <w:t>亿元（按</w:t>
      </w:r>
      <w:r>
        <w:t>250</w:t>
      </w:r>
      <w:r>
        <w:rPr>
          <w:rFonts w:ascii="微软雅黑" w:eastAsia="微软雅黑" w:hAnsi="微软雅黑" w:cs="微软雅黑" w:hint="eastAsia"/>
          <w:lang w:eastAsia="zh-CN"/>
        </w:rPr>
        <w:t>舱、入住率</w:t>
      </w:r>
      <w:r>
        <w:t>80%</w:t>
      </w:r>
      <w:r>
        <w:rPr>
          <w:rFonts w:ascii="微软雅黑" w:eastAsia="微软雅黑" w:hAnsi="微软雅黑" w:cs="微软雅黑" w:hint="eastAsia"/>
          <w:lang w:eastAsia="zh-CN"/>
        </w:rPr>
        <w:t>测算）与共享空间收入</w:t>
      </w:r>
      <w:r>
        <w:t>0.5</w:t>
      </w:r>
      <w:r>
        <w:rPr>
          <w:rFonts w:ascii="微软雅黑" w:eastAsia="微软雅黑" w:hAnsi="微软雅黑" w:cs="微软雅黑" w:hint="eastAsia"/>
          <w:lang w:eastAsia="zh-CN"/>
        </w:rPr>
        <w:t>亿元构成核心现金流；长潭五句</w:t>
      </w:r>
      <w:r>
        <w:t>IP</w:t>
      </w:r>
      <w:r>
        <w:rPr>
          <w:rFonts w:ascii="微软雅黑" w:eastAsia="微软雅黑" w:hAnsi="微软雅黑" w:cs="微软雅黑" w:hint="eastAsia"/>
          <w:lang w:eastAsia="zh-CN"/>
        </w:rPr>
        <w:t>授权</w:t>
      </w:r>
      <w:r>
        <w:t>1.0</w:t>
      </w:r>
      <w:r>
        <w:rPr>
          <w:rFonts w:ascii="微软雅黑" w:eastAsia="微软雅黑" w:hAnsi="微软雅黑" w:cs="微软雅黑" w:hint="eastAsia"/>
          <w:lang w:eastAsia="zh-CN"/>
        </w:rPr>
        <w:t>亿元、论坛峰会</w:t>
      </w:r>
      <w:r>
        <w:t>0.3</w:t>
      </w:r>
      <w:r>
        <w:rPr>
          <w:rFonts w:ascii="微软雅黑" w:eastAsia="微软雅黑" w:hAnsi="微软雅黑" w:cs="微软雅黑" w:hint="eastAsia"/>
          <w:lang w:eastAsia="zh-CN"/>
        </w:rPr>
        <w:t>亿元；</w:t>
      </w:r>
      <w:r>
        <w:t>OPC</w:t>
      </w:r>
      <w:r>
        <w:rPr>
          <w:rFonts w:ascii="微软雅黑" w:eastAsia="微软雅黑" w:hAnsi="微软雅黑" w:cs="微软雅黑" w:hint="eastAsia"/>
          <w:lang w:eastAsia="zh-CN"/>
        </w:rPr>
        <w:t>与众创服务</w:t>
      </w:r>
      <w:r>
        <w:t>0.2</w:t>
      </w:r>
      <w:r>
        <w:rPr>
          <w:rFonts w:ascii="微软雅黑" w:eastAsia="微软雅黑" w:hAnsi="微软雅黑" w:cs="微软雅黑" w:hint="eastAsia"/>
          <w:lang w:eastAsia="zh-CN"/>
        </w:rPr>
        <w:t>亿元、算力与流量分发</w:t>
      </w:r>
      <w:r>
        <w:t>0.5</w:t>
      </w:r>
      <w:r>
        <w:rPr>
          <w:rFonts w:ascii="微软雅黑" w:eastAsia="微软雅黑" w:hAnsi="微软雅黑" w:cs="微软雅黑" w:hint="eastAsia"/>
          <w:lang w:eastAsia="zh-CN"/>
        </w:rPr>
        <w:t>亿元；门票研学文创</w:t>
      </w:r>
      <w:r>
        <w:t>0.6</w:t>
      </w:r>
      <w:r>
        <w:rPr>
          <w:rFonts w:ascii="微软雅黑" w:eastAsia="微软雅黑" w:hAnsi="微软雅黑" w:cs="微软雅黑" w:hint="eastAsia"/>
          <w:lang w:eastAsia="zh-CN"/>
        </w:rPr>
        <w:t>亿元、数字文旅实景演出</w:t>
      </w:r>
      <w:r>
        <w:t>1.0</w:t>
      </w:r>
      <w:r>
        <w:rPr>
          <w:rFonts w:ascii="微软雅黑" w:eastAsia="微软雅黑" w:hAnsi="微软雅黑" w:cs="微软雅黑" w:hint="eastAsia"/>
          <w:lang w:eastAsia="zh-CN"/>
        </w:rPr>
        <w:t>亿元；天下点秀平台域名注册、官网搭建、流量聚合与商单撮合等收入约</w:t>
      </w:r>
      <w:r>
        <w:t>0.3</w:t>
      </w:r>
      <w:r>
        <w:rPr>
          <w:rFonts w:ascii="微软雅黑" w:eastAsia="微软雅黑" w:hAnsi="微软雅黑" w:cs="微软雅黑" w:hint="eastAsia"/>
          <w:lang w:eastAsia="zh-CN"/>
        </w:rPr>
        <w:t>亿元。投资回收期约</w:t>
      </w:r>
      <w:r>
        <w:t>5—6</w:t>
      </w:r>
      <w:r>
        <w:rPr>
          <w:rFonts w:ascii="微软雅黑" w:eastAsia="微软雅黑" w:hAnsi="微软雅黑" w:cs="微软雅黑" w:hint="eastAsia"/>
          <w:lang w:eastAsia="zh-CN"/>
        </w:rPr>
        <w:t>年。</w:t>
      </w:r>
    </w:p>
    <w:p>
      <w:pPr>
        <w:pStyle w:val="Heading3"/>
        <w:spacing w:before="200" w:after="150"/>
      </w:pPr>
      <w:r>
        <w:rPr>
          <w:rFonts w:ascii="微软雅黑" w:hAnsi="微软雅黑" w:eastAsia="微软雅黑" w:cs="微软雅黑" w:hint="eastAsia"/>
          <w:b/>
          <w:color w:val="1565C0"/>
          <w:sz w:val="20"/>
          <w:lang w:eastAsia="zh-CN"/>
        </w:rPr>
        <w:t>（二）效益分析</w:t>
      </w:r>
    </w:p>
    <w:p>
      <w:pPr>
        <w:spacing w:after="180"/>
      </w:pPr>
      <w:r>
        <w:rPr>
          <w:rFonts w:ascii="微软雅黑" w:eastAsia="微软雅黑" w:hAnsi="微软雅黑" w:cs="微软雅黑" w:hint="eastAsia"/>
          <w:lang w:eastAsia="zh-CN"/>
        </w:rPr>
        <w:t>文化效益：形成「北有横渠、南有长潭」格局，使长株潭成为当代中国思想创新发源地与</w:t>
      </w:r>
      <w:r>
        <w:t>AI</w:t>
      </w:r>
      <w:r>
        <w:rPr>
          <w:rFonts w:ascii="微软雅黑" w:eastAsia="微软雅黑" w:hAnsi="微软雅黑" w:cs="微软雅黑" w:hint="eastAsia"/>
          <w:lang w:eastAsia="zh-CN"/>
        </w:rPr>
        <w:t>文化标准策源地。产业效益：带动</w:t>
      </w:r>
      <w:r>
        <w:t>AI</w:t>
      </w:r>
      <w:r>
        <w:rPr>
          <w:rFonts w:ascii="微软雅黑" w:eastAsia="微软雅黑" w:hAnsi="微软雅黑" w:cs="微软雅黑" w:hint="eastAsia"/>
          <w:lang w:eastAsia="zh-CN"/>
        </w:rPr>
        <w:t>、区块链、数字文旅、红人新经济上下游集聚，培育千亿级数字文明产业集群，强化「长沙创新、株洲制造、湘潭算力」协同。人才效益：以全球数字游民基地吸引</w:t>
      </w:r>
      <w:r>
        <w:t>AI</w:t>
      </w:r>
      <w:r>
        <w:rPr>
          <w:rFonts w:ascii="微软雅黑" w:eastAsia="微软雅黑" w:hAnsi="微软雅黑" w:cs="微软雅黑" w:hint="eastAsia"/>
          <w:lang w:eastAsia="zh-CN"/>
        </w:rPr>
        <w:t>科学家、哲学家、创作者定居，形成人才虹吸。城市效益：绿心从生态保护升级为四维价值释放，提升长株潭在全国城市群中的辨识度与不可替代性。政绩效益：轻资产、高显示度、强示范，一年出</w:t>
      </w:r>
      <w:r>
        <w:t>IP</w:t>
      </w:r>
      <w:r>
        <w:rPr>
          <w:rFonts w:ascii="微软雅黑" w:eastAsia="微软雅黑" w:hAnsi="微软雅黑" w:cs="微软雅黑" w:hint="eastAsia"/>
          <w:lang w:eastAsia="zh-CN"/>
        </w:rPr>
        <w:t>、两年聚人才、三年成产业、五年成地标，成果可见可复制。</w:t>
      </w:r>
    </w:p>
    <w:p>
      <w:bookmarkStart w:id="15" w:name="_Toc_s6"/>
      <w:bookmarkStart w:id="6" w:name="s6"/>
      <w:pPr>
        <w:pStyle w:val="Heading2"/>
        <w:spacing w:before="520" w:after="195"/>
      </w:pPr>
      <w:bookmarkEnd w:id="6"/>
      <w:r>
        <w:rPr>
          <w:rFonts w:ascii="微软雅黑" w:hAnsi="微软雅黑" w:eastAsia="微软雅黑" w:cs="微软雅黑" w:hint="eastAsia"/>
          <w:b/>
          <w:color w:val="1A237E"/>
          <w:sz w:val="26"/>
          <w:lang w:eastAsia="zh-CN"/>
        </w:rPr>
        <w:t>六、政策契合与试点申报</w:t>
      </w:r>
      <w:bookmarkEnd w:id="15"/>
    </w:p>
    <w:p>
      <w:pPr>
        <w:spacing w:after="180"/>
      </w:pPr>
      <w:r>
        <w:rPr>
          <w:rFonts w:ascii="微软雅黑" w:eastAsia="微软雅黑" w:hAnsi="微软雅黑" w:cs="微软雅黑" w:hint="eastAsia"/>
          <w:lang w:eastAsia="zh-CN"/>
        </w:rPr>
        <w:t>项目全面契合「三高四新」（科技创新高地、内陆改革开放高地、文化强省高地）、长株潭一体化、绿心保值增值国家试点、新质生产力、文化科技融合、</w:t>
      </w:r>
      <w:r>
        <w:t>OPC</w:t>
      </w:r>
      <w:r>
        <w:rPr>
          <w:rFonts w:ascii="微软雅黑" w:eastAsia="微软雅黑" w:hAnsi="微软雅黑" w:cs="微软雅黑" w:hint="eastAsia"/>
          <w:lang w:eastAsia="zh-CN"/>
        </w:rPr>
        <w:t>与数字游民扶持等核心政策。可申报：国家文化和科技融合试验区、国家</w:t>
      </w:r>
      <w:r>
        <w:t>AI</w:t>
      </w:r>
      <w:r>
        <w:rPr>
          <w:rFonts w:ascii="微软雅黑" w:eastAsia="微软雅黑" w:hAnsi="微软雅黑" w:cs="微软雅黑" w:hint="eastAsia"/>
          <w:lang w:eastAsia="zh-CN"/>
        </w:rPr>
        <w:t>伦理示范区、国家数字游民创业示范区、长株潭绿心国家文化地标等国家级试点；可争取国家文化产业发展专项资金、文旅融合发展资金、湖南省绿心发展专项资金、数字经济专项资金及长沙市</w:t>
      </w:r>
      <w:r>
        <w:t>OPC</w:t>
      </w:r>
      <w:r>
        <w:rPr>
          <w:rFonts w:ascii="微软雅黑" w:eastAsia="微软雅黑" w:hAnsi="微软雅黑" w:cs="微软雅黑" w:hint="eastAsia"/>
          <w:lang w:eastAsia="zh-CN"/>
        </w:rPr>
        <w:t>创业与文创补贴等多渠道资金支持。</w:t>
      </w:r>
    </w:p>
    <w:p>
      <w:bookmarkStart w:id="16" w:name="_Toc_s7"/>
      <w:bookmarkStart w:id="7" w:name="s7"/>
      <w:pPr>
        <w:pStyle w:val="Heading2"/>
        <w:spacing w:before="520" w:after="195"/>
      </w:pPr>
      <w:bookmarkEnd w:id="7"/>
      <w:r>
        <w:rPr>
          <w:rFonts w:ascii="微软雅黑" w:hAnsi="微软雅黑" w:eastAsia="微软雅黑" w:cs="微软雅黑" w:hint="eastAsia"/>
          <w:b/>
          <w:color w:val="1A237E"/>
          <w:sz w:val="26"/>
          <w:lang w:eastAsia="zh-CN"/>
        </w:rPr>
        <w:t>七、风险分析与对策</w:t>
      </w:r>
      <w:bookmarkEnd w:id="16"/>
    </w:p>
    <w:p>
      <w:pPr>
        <w:spacing w:after="180"/>
        <w:pBdr>
          <w:left w:val="single" w:sz="18" w:space="0" w:color="F9A825"/>
        </w:pBdr>
        <w:shd w:val="clear" w:color="auto" w:fill="F5F7FA"/>
      </w:pPr>
      <w:r>
        <w:t xml:space="preserve">  </w:t>
      </w:r>
      <w:r>
        <w:rPr>
          <w:rFonts w:ascii="微软雅黑" w:eastAsia="微软雅黑" w:hAnsi="微软雅黑" w:cs="微软雅黑" w:hint="eastAsia"/>
          <w:b/>
          <w:lang w:eastAsia="zh-CN"/>
        </w:rPr>
        <w:t>生态环保风险</w:t>
      </w:r>
      <w:r>
        <w:rPr>
          <w:rFonts w:ascii="微软雅黑" w:eastAsia="微软雅黑" w:hAnsi="微软雅黑" w:cs="微软雅黑" w:hint="eastAsia"/>
          <w:lang w:eastAsia="zh-CN"/>
        </w:rPr>
        <w:t>：严格环评，低容积率、零碳技术，全部设施符合绿心正面清单。</w:t>
      </w:r>
    </w:p>
    <w:p>
      <w:pPr>
        <w:spacing w:after="180"/>
        <w:pBdr>
          <w:left w:val="single" w:sz="18" w:space="0" w:color="F9A825"/>
        </w:pBdr>
        <w:shd w:val="clear" w:color="auto" w:fill="F5F7FA"/>
      </w:pPr>
      <w:r>
        <w:t xml:space="preserve">  </w:t>
      </w:r>
      <w:r>
        <w:rPr>
          <w:rFonts w:ascii="微软雅黑" w:eastAsia="微软雅黑" w:hAnsi="微软雅黑" w:cs="微软雅黑" w:hint="eastAsia"/>
          <w:b/>
          <w:lang w:eastAsia="zh-CN"/>
        </w:rPr>
        <w:t>招商运营风险</w:t>
      </w:r>
      <w:r>
        <w:rPr>
          <w:rFonts w:ascii="微软雅黑" w:eastAsia="微软雅黑" w:hAnsi="微软雅黑" w:cs="微软雅黑" w:hint="eastAsia"/>
          <w:lang w:eastAsia="zh-CN"/>
        </w:rPr>
        <w:t>：以强</w:t>
      </w:r>
      <w:r>
        <w:t>IP</w:t>
      </w:r>
      <w:r>
        <w:rPr>
          <w:rFonts w:ascii="微软雅黑" w:eastAsia="微软雅黑" w:hAnsi="微软雅黑" w:cs="微软雅黑" w:hint="eastAsia"/>
          <w:lang w:eastAsia="zh-CN"/>
        </w:rPr>
        <w:t>引流、</w:t>
      </w:r>
      <w:r>
        <w:t>OPC</w:t>
      </w:r>
      <w:r>
        <w:rPr>
          <w:rFonts w:ascii="微软雅黑" w:eastAsia="微软雅黑" w:hAnsi="微软雅黑" w:cs="微软雅黑" w:hint="eastAsia"/>
          <w:lang w:eastAsia="zh-CN"/>
        </w:rPr>
        <w:t>政策配套、拎包入住与社群运营形成标杆效应。</w:t>
      </w:r>
    </w:p>
    <w:p>
      <w:pPr>
        <w:spacing w:after="180"/>
        <w:pBdr>
          <w:left w:val="single" w:sz="18" w:space="0" w:color="F9A825"/>
        </w:pBdr>
        <w:shd w:val="clear" w:color="auto" w:fill="F5F7FA"/>
      </w:pPr>
      <w:r>
        <w:t xml:space="preserve">  </w:t>
      </w:r>
      <w:r>
        <w:rPr>
          <w:rFonts w:ascii="微软雅黑" w:eastAsia="微软雅黑" w:hAnsi="微软雅黑" w:cs="微软雅黑" w:hint="eastAsia"/>
          <w:b/>
          <w:lang w:eastAsia="zh-CN"/>
        </w:rPr>
        <w:t>资金风险</w:t>
      </w:r>
      <w:r>
        <w:rPr>
          <w:rFonts w:ascii="微软雅黑" w:eastAsia="微软雅黑" w:hAnsi="微软雅黑" w:cs="微软雅黑" w:hint="eastAsia"/>
          <w:lang w:eastAsia="zh-CN"/>
        </w:rPr>
        <w:t>：分期建设、滚动开发、社会资本为主、多元融资。</w:t>
      </w:r>
    </w:p>
    <w:p>
      <w:pPr>
        <w:spacing w:after="180"/>
        <w:pBdr>
          <w:left w:val="single" w:sz="18" w:space="0" w:color="F9A825"/>
        </w:pBdr>
        <w:shd w:val="clear" w:color="auto" w:fill="F5F7FA"/>
      </w:pPr>
      <w:r>
        <w:t xml:space="preserve">  </w:t>
      </w:r>
      <w:r>
        <w:rPr>
          <w:rFonts w:ascii="微软雅黑" w:eastAsia="微软雅黑" w:hAnsi="微软雅黑" w:cs="微软雅黑" w:hint="eastAsia"/>
          <w:b/>
          <w:lang w:eastAsia="zh-CN"/>
        </w:rPr>
        <w:t>竞争风险</w:t>
      </w:r>
      <w:r>
        <w:rPr>
          <w:rFonts w:ascii="微软雅黑" w:eastAsia="微软雅黑" w:hAnsi="微软雅黑" w:cs="微软雅黑" w:hint="eastAsia"/>
          <w:lang w:eastAsia="zh-CN"/>
        </w:rPr>
        <w:t>：唯一文化超级</w:t>
      </w:r>
      <w:r>
        <w:t>IP</w:t>
      </w:r>
      <w:r>
        <w:rPr>
          <w:rFonts w:ascii="微软雅黑" w:eastAsia="微软雅黑" w:hAnsi="微软雅黑" w:cs="微软雅黑" w:hint="eastAsia"/>
          <w:lang w:eastAsia="zh-CN"/>
        </w:rPr>
        <w:t>＋绿心稀缺生态＋东方思想高地＋</w:t>
      </w:r>
      <w:r>
        <w:t>OPC</w:t>
      </w:r>
      <w:r>
        <w:rPr>
          <w:rFonts w:ascii="微软雅黑" w:eastAsia="微软雅黑" w:hAnsi="微软雅黑" w:cs="微软雅黑" w:hint="eastAsia"/>
          <w:lang w:eastAsia="zh-CN"/>
        </w:rPr>
        <w:t>政策叠加，构成不可复制壁垒。</w:t>
      </w:r>
    </w:p>
    <w:p>
      <w:pPr>
        <w:spacing w:after="180"/>
        <w:pBdr>
          <w:left w:val="single" w:sz="18" w:space="0" w:color="F9A825"/>
        </w:pBdr>
        <w:shd w:val="clear" w:color="auto" w:fill="F5F7FA"/>
      </w:pPr>
      <w:r>
        <w:t xml:space="preserve">  </w:t>
      </w:r>
      <w:r>
        <w:rPr>
          <w:rFonts w:ascii="微软雅黑" w:eastAsia="微软雅黑" w:hAnsi="微软雅黑" w:cs="微软雅黑" w:hint="eastAsia"/>
          <w:b/>
          <w:lang w:eastAsia="zh-CN"/>
        </w:rPr>
        <w:t>平台运营风险</w:t>
      </w:r>
      <w:r>
        <w:rPr>
          <w:rFonts w:ascii="微软雅黑" w:eastAsia="微软雅黑" w:hAnsi="微软雅黑" w:cs="微软雅黑" w:hint="eastAsia"/>
          <w:lang w:eastAsia="zh-CN"/>
        </w:rPr>
        <w:t>：提前完成域名商标合规审核，组建专业运维团队，强化数据安全防护。</w:t>
      </w:r>
    </w:p>
    <w:p>
      <w:bookmarkStart w:id="17" w:name="_Toc_s8"/>
      <w:bookmarkStart w:id="8" w:name="s8"/>
      <w:pPr>
        <w:pStyle w:val="Heading2"/>
        <w:spacing w:before="520" w:after="195"/>
      </w:pPr>
      <w:bookmarkEnd w:id="8"/>
      <w:r>
        <w:rPr>
          <w:rFonts w:ascii="微软雅黑" w:hAnsi="微软雅黑" w:eastAsia="微软雅黑" w:cs="微软雅黑" w:hint="eastAsia"/>
          <w:b/>
          <w:color w:val="1A237E"/>
          <w:sz w:val="26"/>
          <w:lang w:eastAsia="zh-CN"/>
        </w:rPr>
        <w:t>八、结论与建议</w:t>
      </w:r>
      <w:bookmarkEnd w:id="17"/>
    </w:p>
    <w:p>
      <w:pPr>
        <w:spacing w:after="180"/>
      </w:pPr>
      <w:r>
        <w:rPr>
          <w:rFonts w:ascii="微软雅黑" w:eastAsia="微软雅黑" w:hAnsi="微软雅黑" w:cs="微软雅黑" w:hint="eastAsia"/>
          <w:lang w:eastAsia="zh-CN"/>
        </w:rPr>
        <w:t>长潭五句文化科技</w:t>
      </w:r>
      <w:r>
        <w:t>IP</w:t>
      </w:r>
      <w:r>
        <w:rPr>
          <w:rFonts w:ascii="微软雅黑" w:eastAsia="微软雅黑" w:hAnsi="微软雅黑" w:cs="微软雅黑" w:hint="eastAsia"/>
          <w:lang w:eastAsia="zh-CN"/>
        </w:rPr>
        <w:t>综合体项目，以原创思想</w:t>
      </w:r>
      <w:r>
        <w:t>IP</w:t>
      </w:r>
      <w:r>
        <w:rPr>
          <w:rFonts w:ascii="微软雅黑" w:eastAsia="微软雅黑" w:hAnsi="微软雅黑" w:cs="微软雅黑" w:hint="eastAsia"/>
          <w:lang w:eastAsia="zh-CN"/>
        </w:rPr>
        <w:t>为魂、以绿心生态为底、以数字经济为翼、以天下点秀平台为链，是湖南在</w:t>
      </w:r>
      <w:r>
        <w:t>AI</w:t>
      </w:r>
      <w:r>
        <w:rPr>
          <w:rFonts w:ascii="微软雅黑" w:eastAsia="微软雅黑" w:hAnsi="微软雅黑" w:cs="微软雅黑" w:hint="eastAsia"/>
          <w:lang w:eastAsia="zh-CN"/>
        </w:rPr>
        <w:t>时代实现文明引领、产业升级、人才集聚与城市升维的战略级项目，契合政府「少出钱、树标杆、出政绩、获试点」的诉求，实现政府、资本、人才、城市多方共赢。</w:t>
      </w:r>
    </w:p>
    <w:p>
      <w:pPr>
        <w:spacing w:after="180"/>
      </w:pPr>
      <w:r>
        <w:rPr>
          <w:rFonts w:ascii="微软雅黑" w:eastAsia="微软雅黑" w:hAnsi="微软雅黑" w:cs="微软雅黑" w:hint="eastAsia"/>
          <w:lang w:eastAsia="zh-CN"/>
        </w:rPr>
        <w:t>建议：一是将本项目纳入长株潭绿心发展与文化科技融合相关规划盘子；二是支持项目方按本报告开展可行性研究、总体规划与用地预审等前期工作；三是先行启动</w:t>
      </w:r>
      <w:r>
        <w:t>100</w:t>
      </w:r>
      <w:r>
        <w:rPr>
          <w:rFonts w:ascii="微软雅黑" w:eastAsia="微软雅黑" w:hAnsi="微软雅黑" w:cs="微软雅黑" w:hint="eastAsia"/>
          <w:lang w:eastAsia="zh-CN"/>
        </w:rPr>
        <w:t>万元前期策划专项（</w:t>
      </w:r>
      <w:r>
        <w:t>6</w:t>
      </w:r>
      <w:r>
        <w:rPr>
          <w:rFonts w:ascii="微软雅黑" w:eastAsia="微软雅黑" w:hAnsi="微软雅黑" w:cs="微软雅黑" w:hint="eastAsia"/>
          <w:lang w:eastAsia="zh-CN"/>
        </w:rPr>
        <w:t>个月交付全套申报文件），以小投入锁定大项目主导权；四是适时组织发改、文旅、科技、自然资源等部门联合评审，推动项目进入正式立项程序。</w:t>
      </w:r>
    </w:p>
    <w:p>
      <w:pPr>
        <w:spacing w:after="180"/>
      </w:pPr>
      <w:r>
        <w:rPr>
          <w:rFonts w:ascii="微软雅黑" w:eastAsia="微软雅黑" w:hAnsi="微软雅黑" w:cs="微软雅黑" w:hint="eastAsia"/>
          <w:lang w:eastAsia="zh-CN"/>
        </w:rPr>
        <w:t>口径说明：本报告数据与《长潭五句项目独立终稿文档》一致，投资采用含天下点秀平台的</w:t>
      </w:r>
      <w:r>
        <w:t>13.0</w:t>
      </w:r>
      <w:r>
        <w:rPr>
          <w:rFonts w:ascii="微软雅黑" w:eastAsia="微软雅黑" w:hAnsi="微软雅黑" w:cs="微软雅黑" w:hint="eastAsia"/>
          <w:lang w:eastAsia="zh-CN"/>
        </w:rPr>
        <w:t>亿元终稿口径；五句文本采用「为天地</w:t>
      </w:r>
      <w:r>
        <w:t>AI</w:t>
      </w:r>
      <w:r>
        <w:rPr>
          <w:rFonts w:ascii="微软雅黑" w:eastAsia="微软雅黑" w:hAnsi="微软雅黑" w:cs="微软雅黑" w:hint="eastAsia"/>
          <w:lang w:eastAsia="zh-CN"/>
        </w:rPr>
        <w:t>立心，为区块链固本，为元宇宙证道，为科技划时代，为万世开太平」定本；《心之力》取青年毛泽东此文此志，为心力思想的源头坐标。项目申报单位、具体用地边界等以正式注册与审批文件为准。</w:t>
      </w:r>
      <w:r/>
      <w:r/>
      <w:r/>
    </w:p>
    <w:sectPr w:rsidR="00FC693F" w:rsidRPr="0006063C" w:rsidSect="00034616">
      <w:footerReference w:type="default" r:id="rId9"/>
      <w:pgSz w:w="11906" w:h="16838"/>
      <w:pgMar w:top="1440" w:right="1797" w:bottom="1440" w:left="179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156" w:val="center"/>
        <w:tab w:pos="8312" w:val="right"/>
      </w:tabs>
    </w:pPr>
    <w:r>
      <w:tab/>
    </w:r>
    <w:fldSimple w:instr="PAGE">
      <w:r>
        <w:t/>
      </w:r>
    </w:fldSimple>
    <w:r>
      <w:tab/>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6" w:lineRule="auto"/>
    </w:pPr>
    <w:rPr>
      <w:rFonts w:ascii="微软雅黑" w:hAnsi="微软雅黑" w:eastAsia="微软雅黑"/>
      <w:color w:val="21212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